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0FBAEA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审讯和门禁设备采购</w:t>
      </w:r>
    </w:p>
    <w:p w14:paraId="27DC43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045EA0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1538"/>
        <w:gridCol w:w="5254"/>
        <w:gridCol w:w="371"/>
        <w:gridCol w:w="962"/>
        <w:gridCol w:w="788"/>
        <w:gridCol w:w="638"/>
        <w:gridCol w:w="699"/>
        <w:gridCol w:w="1425"/>
        <w:gridCol w:w="1100"/>
        <w:gridCol w:w="1354"/>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62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5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216"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88"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337" w:type="dxa"/>
            <w:gridSpan w:val="2"/>
            <w:vMerge w:val="restart"/>
            <w:tcBorders>
              <w:top w:val="single" w:color="000000" w:sz="4" w:space="0"/>
              <w:left w:val="single" w:color="000000" w:sz="4" w:space="0"/>
              <w:right w:val="single" w:color="000000" w:sz="4" w:space="0"/>
            </w:tcBorders>
            <w:shd w:val="clear" w:color="auto" w:fill="auto"/>
            <w:vAlign w:val="center"/>
          </w:tcPr>
          <w:p w14:paraId="5870026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w:t>
            </w:r>
          </w:p>
          <w:p w14:paraId="46C461B6">
            <w:pPr>
              <w:keepNext w:val="0"/>
              <w:keepLines w:val="0"/>
              <w:widowControl/>
              <w:suppressLineNumbers w:val="0"/>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推荐品牌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5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788" w:type="dxa"/>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337" w:type="dxa"/>
            <w:gridSpan w:val="2"/>
            <w:vMerge w:val="continue"/>
            <w:tcBorders>
              <w:left w:val="single" w:color="000000" w:sz="4" w:space="0"/>
              <w:bottom w:val="single" w:color="000000" w:sz="4" w:space="0"/>
              <w:right w:val="single" w:color="000000" w:sz="4" w:space="0"/>
            </w:tcBorders>
            <w:shd w:val="clear" w:color="auto" w:fill="auto"/>
            <w:vAlign w:val="center"/>
          </w:tcPr>
          <w:p w14:paraId="779F8776">
            <w:pPr>
              <w:jc w:val="center"/>
              <w:rPr>
                <w:rFonts w:hint="eastAsia" w:ascii="黑体" w:hAnsi="宋体" w:eastAsia="黑体" w:cs="黑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审讯主机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1、嵌入式 LINUX 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 H.264、H.265 编解码标准；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3、支持VGA、HDMI 信号和网络摄像机/球机混合接入；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4、输入带宽：256Mbps；输出带宽：256Mbps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5、网络视频输入：8路，最大4K分辨率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6、HDMI输入：2路，最大 4K，VGA输入：2路，最大1080P;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8、LCD屏：≥7英寸液晶触控显示屏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9、HDMI输出：2路，最大4K，VGA输出：1路，最大1080P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10、音频输入：4路，RCA接口（其中2路为语音对讲输入），音频输出：2路，RCA接口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11、硬盘：4盘位，出厂自带2块6TB硬盘；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12、支持单画面、1大1小、1大2小、1大3小、1大4小、1大5小、1大7小、4均分等多种画面合成方式，小画面位置和大小可调；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13、支持网络/RS485协议接入温湿度显示屏；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★14、内置2个光驱；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15、支持单室双刻、单室轮刻、双室双刻多种刻录模式，支持一键开启/停止刻录、支持双光盘同时回放；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16、支持案件信息录入和片头片尾叠加功能，叠加案件信息位置可调；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17、支持光盘不间断刻录，更换光盘时数据不丢失，支持刻录数据数字水印加密和哈希检验技术，防止原始音视频数据被篡改，支持讯问记录恢复时音频数据屏蔽功能；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18、支持异常断电硬盘和光盘数据保护功能，支持音频算法处理，包含音频混音、回声消除、啸叫抑制；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★19、含2块6监控硬盘；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20、与执法办案管理系统无缝对接。</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47BE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59">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1354" w:type="dxa"/>
            <w:vMerge w:val="restart"/>
            <w:tcBorders>
              <w:top w:val="single" w:color="000000" w:sz="4" w:space="0"/>
              <w:left w:val="single" w:color="000000" w:sz="4" w:space="0"/>
              <w:right w:val="single" w:color="000000" w:sz="8" w:space="0"/>
            </w:tcBorders>
            <w:shd w:val="clear" w:color="auto" w:fill="auto"/>
            <w:vAlign w:val="center"/>
          </w:tcPr>
          <w:p w14:paraId="281F43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61BB52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8CBDF4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81FF73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3D54FF0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EE9A88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A08EC6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694FA9C">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96CB38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FA450A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517FBBB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B18C114">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34E5A6E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6D59E21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41A957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332358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977B43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36EEB6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369F102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海康</w:t>
            </w: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一体化数字签名指纹捺印板</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spacing w:line="240" w:lineRule="auto"/>
              <w:ind w:firstLine="42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1、屏幕尺寸：≥10.1 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2、颜色质量：24位真彩位；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3、分辨率：≥1280×800；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4、亮度：≥400cd/m²；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5、对比度：≥800：1；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6、A级屏，无亮点、坏点；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7、电容式指纹传感器+高速DSP处理器，符合公安部要求；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8、电磁手写模块：（标配）；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9、分辨率：4000LPI；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10、笔压等级：2048（含）以上；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11、笔读写速度：200PPS；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12、精确度：±0.5mm（中间区域）；±2mm（距边缘5mm范围）；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13、笔倾斜角度：±45 （垂直屏幕/板表面）；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14、感应高度：10mm （距离玻璃/板表面）；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15、无故障点击寿命：单点≥100万次；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16、电磁签名笔：电磁压感感应笔（无源），笔尖可更换；专用的笔架可放置签名笔；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17、与执法办案管理系统无缝对接。</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C66C3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30A">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询问指挥主机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紧急报警管理机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一体式钢化玻璃面板设计， 10.1寸彩色IPS 触摸屏，1280*800分辨率，扁平化风格UI操作界面，绚丽大气，操作简便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标配鹅颈话筒，具有硬件噪声抑制与回声消除功能，保证通话音质清晰明亮；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实时对讲：支持与报警盒、报警箱、报警柱、门口机、室内机及管理机之间的可视对讲；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监听监视：支持实时预览前端设备的音视频；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报警功能：实时接收、显示前端设备的报警信息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分组广播：支持对前端设备进行分组广播喊话；支持同时广播50台前端设备，配置TS软件后支持广播最大250台报警盒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硬件接口：USB接口，支持拓展音箱&amp;指纹模块；支持TF卡，扩展容量，提高安全性；具有HDMI接口可外接显示屏；3.5mm音频输入输出接口可外接麦克风和扬声器；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web管理：具有web管理功能，支持进行参数配置、设备管理、系统维护等操作；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安卓系统，支持第三方app安装，便于三方拓展个性化业务应用；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自带铝合金支架，支持桌面多个角度摆放，同时支持选配壁挂式安装</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3D5A5C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712">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报警主机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紧急报警管理【技术参数】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1、操作系统：嵌入式Linux操作系统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2、防区数量：板载8路（探测器100m以内），可通过防区模块扩展至256路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3、继电器数量：板载4路（距离50m以内），可通过继电器模块扩展至256路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4、日志容量：4万条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5、传输距离：双总线，每条总线最长支持2.4Km（每条总线可增加2个中继器扩展至7.2km，总共支持14.4km）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6、硬件接口：RS485*1、MBUS*2、RJ45*1，PSTN*1，4G模块接口*1，RS232*1（可接报警打印机）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7、安装方式：壁挂安装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8、供电方式：AC220V（自带电源适配器）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9、设备功耗：裸机功耗≤5W，满载功耗≤60W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10、工作温度：–10℃～+55℃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11、工作湿度：10％--90％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12、使用环境：室内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13、产品尺寸：370*320*86mm（长*宽*厚）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【功能特性】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1、防区报警：支持探测器/紧急报警装置触发信号接收，进行入侵/紧急报警事件管理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2、断电报警：当市电断电时，设备可通过蓄电池正常工作8小时以上（需选配蓄电池），并将断电事件进行通知上报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3、外接键盘：支持32个报警键盘接入，包括1个全局键盘和31个子系统键盘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4、报警管理：支持报警键盘、客户端软件、中心平台进行报警管理操作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5、报警指示：支持报警键盘、警号、继电器联动、中心平台上报等报警事件指示功能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6、联动控制：支持报警事件联动，平台控制继电器输出，实现场景化联动输出，实现个性化管理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7、事件上传：支持断网续传功能，设备离线状态下产生事件在与平台连接后会重新上传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8、子系统管理：支持8个子系统，实现对防区进行分区管理，支持外出布防、在家布防、撤防、消警、旁路等功能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9、防区设置：支持即时防区、延时防区、紧急防区、超时防区等场景化防区类型设置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10、配置管理：支持配置文件导出和导入功能，实现参数备份和快速移机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29BFB5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296">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CD6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3E0F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D9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单防区模块</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930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1、设备类型：总线单防区扩展模块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2、防区数量：1个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3、通讯接口：M-BUS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4、通讯线材：RVV2*1.5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5、通讯协议：M-BUS协议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6、外壳材质：塑料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7、使用环境：室内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8、工作电源：DC36V/0.8mA（主机总线供电）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9、工作温度：-10 °C 至 55 °C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10、工作湿度：10% 至 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11、产品尺寸：49.4*32*14.3mm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1、防区扩展：通过RVV线方式接入报警主机，扩展1路有线防区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2、总线无极性：总线接口不区分极性，方便施工安装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3、地址设置：通过拨码方式设置模块地址，拨码地址不能重复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8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5AA606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1354F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75DD">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02D2">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71576D24">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C2F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C5C3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1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边缘计算一体机(8路)</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691C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2U标准机架式8盘位超脑NVR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2个HDMI，2个VGA，双异源输出，支持双4K输出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支持满配12TB硬盘（总容量可达96TB）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2个10M/100M/1000Mbps网口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2个USB2.0接口、2个USB3.0接口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1个eSATA接口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报警IO接口：16路报警输入，9路报警输出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输入带宽：320Mbps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输出带宽：400Mbps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接入能力：32路H.264、H.265格式高清码流接入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解码能力：最大支持32×1080P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RAID模式：RAID0、RAID1、RAID5、RAID6、RAID10，支持全局热备盘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（仅支持监控级AI盘或企业级硬盘启用RAID）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【智能应用】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5合1 AI融合巡检，集成人、车、行为、事件、AIOP 5大类多种算法于一体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一、人（包含3种算法）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1、人脸识别：人脸抓拍+人脸比对（32个名单库+10万张库容）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2、人数统计：倾斜客流统计+区域人数统计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3、安全帽反光衣：安全帽（颜色：红黄蓝白橙）+反光衣（颜色：绿橙）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二、车（包含2种算法）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1、机动车识别：车牌识别（含车牌颜色）+车辆属性识别（含车辆颜色、车辆主子品牌、车辆类型）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2、非机动车识别：电瓶车+自行车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三、行为（包含4种算法）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1、街面行为分析：人员倒地+人员聚集+快速移动（奔跑）+剧烈运动（打架）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分析模式：实时视频分析、轮巡视频分析、大模型二次分析去误报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2、岗位行为分析：在离岗+睡岗（趴睡）+玩手机+人数异常+人员滞留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3、周界防范：区域入侵+越界侦测+进入区域侦测+离开区域侦测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4、抽烟打电话：抽烟+打电话识别（主要场景企业园区、加油站，支持二次检测）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四、事件（包含3种算法，其中街道不支持虚拟引擎，需要独占整颗GPU）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1、街道事件：垃圾管理（垃圾满溢、打包垃圾、晾晒垃圾）+摊位管理（占道经营、店外经营、游摊小贩）+街面管理（乱堆物料、经营撑伞、违规广告、沿街晾晒）+车辆管理（机动车/非机动车乱停乱放）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分析模式：定时抓图分析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2、烟雾火点：近距离烟火检测（室内、园区）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分析模式：实时视频分析、轮巡视频分析、大模型二次分析去误报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3、通道占用（室内消防通道占用）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分析模式：实时视频分析、定时抓图分析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五、AIOP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1、支持检测、分类、检测+分类、语义分割、实例分割、图像比对、算法编排等AI模型加载运行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【单GPU（物理引擎）算法规格】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实时视频模式：单GPU最大4路（400W及以下最大4路，5-600W最大2路，7-800W最大1路），可被1-4个虚拟引擎分摊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轮巡视频模式 ：单GPU最大16路，间隔10-3600秒，可被1-4个虚拟引擎分摊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定时抓图模式 ：单GPU最大16路，间隔3-3600秒，可被1-4个虚拟引擎分摊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离线图片模式 ：单GPU最大8-10张/秒 ，可被1-4个虚拟引擎分摊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补充说明：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1、1个GPU(物理引擎)=4个vGPU(虚拟引擎),虚拟引擎不影响物理引擎性能，只是可以加载更多算法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2、上述1种算法可单独加载到1个虚拟引擎中（街道除外，需独占物理引擎）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3、当只加载1种算法的时候，虚拟引擎性能和物理引擎一样，性能独占；当加载N种算法（N≤4），则单个虚拟引擎性能=最大物理引擎性能/N；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【设备总性能规格】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设备内置2颗GPU（物理引擎）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总性能 = “GPU个数” × “单GPU（物理引擎）算法规格”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最大支持1个大模型二次分析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支持导入AIOP大模型进行直接分析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大模型分析只支持图片分析（定时抓图/离线图片），性能2秒/张/GPU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大模型支持检测，分类，混合（1检测+7分类），OCR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【大模型二次分析】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支持导入AIOP大模型对小模型分析结果进行二次分析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大模型支持检测，分类，混合（1检测+7分类），OCR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注意：大模型二次分析会出现报警延迟，如不能接受，请勿开启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31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1D149C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0E3683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6BD">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AEA">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428BB4E">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AF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3C59C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33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门禁一体机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01E0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1、操作系统：嵌入式Linux操作系统；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2、屏幕≥7英寸LCD触摸显示屏，屏幕比例9:16，屏幕分辨率≥600*1024；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3、摄像头：采用宽动态≥200万双目摄像头；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4、认证方式：支持人脸、刷卡（Mifare卡/IC卡、手机NFC卡、CPU卡序列号、身份证卡序列号）、指纹、密码、二维码（通过摄像头识别）认证方式；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5、人脸识别：支持照片、视频防假；1:N人脸识别速度≤0.2s，人脸验证准确率≥99%；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6、存储容量：本地≥6000人脸库、≥6000张卡，≥5000 指纹，≥5万条事件记录；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7、硬件接口：LAN*1、RS485*1、Wiegand * 1(支持双向)、USB*1、电锁*1、门磁*1、报警输入*2、报警输出*1、开门按钮*1；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8、防护等级≥IP65，室内外环境（室外使用必须搭配遮阳罩）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9A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527AD9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1C599B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1C05">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2E90">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39522BE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D30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45B1E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4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单门磁力锁</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C85A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1、最大静态直线拉力：280kg±10%；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2、断电开锁，满足消防要求；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3、具有电锁状态指示灯（红灯为开锁状态， 绿灯为上锁状态）；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4、支持锁状态侦测信号(门磁)输出：NO/NC/COM接点；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5、使用环境：室内（不防水）；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6、适用门型：木门、玻璃门、金属门、防火门；</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8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47B95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314B2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040">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3771">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02B027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3年</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16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2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5天</w:t>
            </w:r>
          </w:p>
        </w:tc>
        <w:tc>
          <w:tcPr>
            <w:tcW w:w="275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D3DD2"/>
    <w:rsid w:val="133B07D3"/>
    <w:rsid w:val="138B678C"/>
    <w:rsid w:val="13A43BC7"/>
    <w:rsid w:val="144B0B25"/>
    <w:rsid w:val="14F94AB5"/>
    <w:rsid w:val="157C124F"/>
    <w:rsid w:val="15B405D8"/>
    <w:rsid w:val="16B37629"/>
    <w:rsid w:val="173B2189"/>
    <w:rsid w:val="173C1427"/>
    <w:rsid w:val="17CE6EF3"/>
    <w:rsid w:val="185D2018"/>
    <w:rsid w:val="1870435E"/>
    <w:rsid w:val="18B65219"/>
    <w:rsid w:val="18BD3417"/>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71103C"/>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1A1C96"/>
    <w:rsid w:val="6D3C0639"/>
    <w:rsid w:val="6DB96BEC"/>
    <w:rsid w:val="6F321DFD"/>
    <w:rsid w:val="6F575DD1"/>
    <w:rsid w:val="70155795"/>
    <w:rsid w:val="702E6762"/>
    <w:rsid w:val="70314EAA"/>
    <w:rsid w:val="706B3AE0"/>
    <w:rsid w:val="70A15D8A"/>
    <w:rsid w:val="71270FB3"/>
    <w:rsid w:val="71A60F8F"/>
    <w:rsid w:val="71E07B02"/>
    <w:rsid w:val="71F66174"/>
    <w:rsid w:val="72920A1E"/>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2076</Words>
  <Characters>2265</Characters>
  <Lines>0</Lines>
  <Paragraphs>0</Paragraphs>
  <TotalTime>12</TotalTime>
  <ScaleCrop>false</ScaleCrop>
  <LinksUpToDate>false</LinksUpToDate>
  <CharactersWithSpaces>2632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2025-07-15T08:15:50Z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E47015510F164389BA8D9FAB2FF79186_13</vt:lpwstr>
  </property>
  <property fmtid="{D5CDD505-2E9C-101B-9397-08002B2CF9AE}" pid="4" name="KSOTemplateDocerSaveRecord">
    <vt:lpwstr>eyJoZGlkIjoiYzlmMzVkOGQwNzkyMmE2YWFhOTNmNjMyMGU1YzhhM2UiLCJ1c2VySWQiOiI0NTY4NDQxNDMifQ==</vt:lpwstr>
  </property>
</Properties>
</file>