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诱导屏备件采购询价文件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01EC2ED3">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2.4供应商代理证明或原厂授权。(原厂直接参与无需提供此项)</w:t>
      </w:r>
    </w:p>
    <w:p w14:paraId="47E65C83">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2.5、提供能与原洛浦品牌兼容的承诺函。</w:t>
      </w:r>
    </w:p>
    <w:p w14:paraId="023DD026">
      <w:pPr>
        <w:ind w:left="0" w:leftChars="0" w:firstLine="0" w:firstLineChars="0"/>
        <w:jc w:val="center"/>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承诺函格式</w:t>
      </w:r>
    </w:p>
    <w:p w14:paraId="3A0B767D">
      <w:pPr>
        <w:ind w:left="0" w:leftChars="0" w:firstLine="0" w:firstLineChars="0"/>
        <w:rPr>
          <w:rFonts w:hint="eastAsia" w:ascii="仿宋" w:hAnsi="仿宋" w:eastAsia="仿宋" w:cs="仿宋"/>
          <w:b w:val="0"/>
          <w:bCs w:val="0"/>
          <w:kern w:val="2"/>
          <w:sz w:val="28"/>
          <w:szCs w:val="28"/>
          <w:lang w:val="en-US" w:eastAsia="zh-CN" w:bidi="ar-SA"/>
        </w:rPr>
      </w:pPr>
    </w:p>
    <w:p w14:paraId="3356F3E4">
      <w:pPr>
        <w:ind w:left="0" w:leftChars="0" w:firstLine="0" w:firstLineChars="0"/>
        <w:rPr>
          <w:rFonts w:hint="default" w:ascii="仿宋" w:hAnsi="仿宋" w:eastAsia="仿宋" w:cs="仿宋"/>
          <w:b w:val="0"/>
          <w:bCs w:val="0"/>
          <w:kern w:val="2"/>
          <w:sz w:val="28"/>
          <w:szCs w:val="28"/>
          <w:u w:val="single"/>
          <w:lang w:eastAsia="zh-CN" w:bidi="ar-SA"/>
        </w:rPr>
      </w:pPr>
      <w:r>
        <w:rPr>
          <w:rFonts w:hint="eastAsia" w:ascii="仿宋" w:hAnsi="仿宋" w:eastAsia="仿宋" w:cs="仿宋"/>
          <w:b w:val="0"/>
          <w:bCs w:val="0"/>
          <w:kern w:val="2"/>
          <w:sz w:val="28"/>
          <w:szCs w:val="28"/>
          <w:lang w:val="en-US" w:eastAsia="zh-CN" w:bidi="ar-SA"/>
        </w:rPr>
        <w:t>至</w:t>
      </w:r>
      <w:r>
        <w:rPr>
          <w:rFonts w:hint="eastAsia" w:ascii="仿宋" w:hAnsi="仿宋" w:eastAsia="仿宋" w:cs="仿宋"/>
          <w:b w:val="0"/>
          <w:bCs w:val="0"/>
          <w:kern w:val="2"/>
          <w:sz w:val="28"/>
          <w:szCs w:val="28"/>
          <w:u w:val="single"/>
          <w:lang w:val="en-US" w:eastAsia="zh-CN" w:bidi="ar-SA"/>
        </w:rPr>
        <w:t xml:space="preserve">        </w:t>
      </w:r>
      <w:r>
        <w:rPr>
          <w:rFonts w:hint="default" w:ascii="仿宋" w:hAnsi="仿宋" w:eastAsia="仿宋" w:cs="仿宋"/>
          <w:b w:val="0"/>
          <w:bCs w:val="0"/>
          <w:kern w:val="2"/>
          <w:sz w:val="28"/>
          <w:szCs w:val="28"/>
          <w:u w:val="single"/>
          <w:lang w:eastAsia="zh-CN" w:bidi="ar-SA"/>
        </w:rPr>
        <w:t>：</w:t>
      </w:r>
    </w:p>
    <w:p w14:paraId="20BB5199">
      <w:pPr>
        <w:ind w:left="0" w:leftChars="0" w:firstLine="560" w:firstLineChars="200"/>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kern w:val="2"/>
          <w:sz w:val="28"/>
          <w:szCs w:val="28"/>
          <w:u w:val="none"/>
          <w:lang w:val="en-US" w:eastAsia="zh-CN" w:bidi="ar-SA"/>
        </w:rPr>
        <w:t>我公司已充分了解项目情况，现承诺所投配件能与原有洛浦诱导屏完全兼容，如因不兼容出现任何质量问题，由我公司全权负责。</w:t>
      </w:r>
    </w:p>
    <w:p w14:paraId="7DAED836">
      <w:pPr>
        <w:ind w:left="0" w:leftChars="0" w:firstLine="560" w:firstLineChars="200"/>
        <w:rPr>
          <w:rFonts w:hint="eastAsia" w:ascii="仿宋" w:hAnsi="仿宋" w:eastAsia="仿宋" w:cs="仿宋"/>
          <w:b w:val="0"/>
          <w:bCs w:val="0"/>
          <w:kern w:val="2"/>
          <w:sz w:val="28"/>
          <w:szCs w:val="28"/>
          <w:u w:val="none"/>
          <w:lang w:val="en-US" w:eastAsia="zh-CN" w:bidi="ar-SA"/>
        </w:rPr>
      </w:pPr>
    </w:p>
    <w:p w14:paraId="3A87F3EA">
      <w:pPr>
        <w:ind w:left="0" w:leftChars="0" w:firstLine="560" w:firstLineChars="200"/>
        <w:rPr>
          <w:rFonts w:hint="eastAsia" w:ascii="仿宋" w:hAnsi="仿宋" w:eastAsia="仿宋" w:cs="仿宋"/>
          <w:b w:val="0"/>
          <w:bCs w:val="0"/>
          <w:kern w:val="2"/>
          <w:sz w:val="28"/>
          <w:szCs w:val="28"/>
          <w:u w:val="none"/>
          <w:lang w:val="en-US" w:eastAsia="zh-CN" w:bidi="ar-SA"/>
        </w:rPr>
      </w:pPr>
    </w:p>
    <w:p w14:paraId="44898C4F">
      <w:pPr>
        <w:ind w:left="0" w:leftChars="0" w:firstLine="560" w:firstLineChars="200"/>
        <w:rPr>
          <w:rFonts w:hint="eastAsia" w:ascii="仿宋" w:hAnsi="仿宋" w:eastAsia="仿宋" w:cs="仿宋"/>
          <w:b w:val="0"/>
          <w:bCs w:val="0"/>
          <w:kern w:val="2"/>
          <w:sz w:val="28"/>
          <w:szCs w:val="28"/>
          <w:u w:val="none"/>
          <w:lang w:val="en-US" w:eastAsia="zh-CN" w:bidi="ar-SA"/>
        </w:rPr>
      </w:pPr>
    </w:p>
    <w:p w14:paraId="295B23CB">
      <w:pPr>
        <w:ind w:left="0" w:leftChars="0" w:firstLine="560" w:firstLineChars="200"/>
        <w:rPr>
          <w:rFonts w:hint="eastAsia" w:ascii="仿宋" w:hAnsi="仿宋" w:eastAsia="仿宋" w:cs="仿宋"/>
          <w:b w:val="0"/>
          <w:bCs w:val="0"/>
          <w:kern w:val="2"/>
          <w:sz w:val="28"/>
          <w:szCs w:val="28"/>
          <w:u w:val="none"/>
          <w:lang w:val="en-US" w:eastAsia="zh-CN" w:bidi="ar-SA"/>
        </w:rPr>
      </w:pPr>
    </w:p>
    <w:p w14:paraId="0659D652">
      <w:pPr>
        <w:ind w:firstLine="3640" w:firstLineChars="1300"/>
        <w:rPr>
          <w:rFonts w:hint="default" w:ascii="仿宋" w:hAnsi="仿宋" w:eastAsia="仿宋" w:cs="仿宋"/>
          <w:b w:val="0"/>
          <w:bCs w:val="0"/>
          <w:kern w:val="2"/>
          <w:sz w:val="28"/>
          <w:szCs w:val="28"/>
          <w:u w:val="none"/>
          <w:lang w:val="en-US" w:eastAsia="zh-CN" w:bidi="ar-SA"/>
        </w:rPr>
      </w:pPr>
      <w:r>
        <w:rPr>
          <w:rFonts w:hint="eastAsia" w:ascii="仿宋" w:hAnsi="仿宋" w:eastAsia="仿宋" w:cs="仿宋"/>
          <w:b w:val="0"/>
          <w:bCs w:val="0"/>
          <w:kern w:val="2"/>
          <w:sz w:val="28"/>
          <w:szCs w:val="28"/>
          <w:u w:val="none"/>
          <w:lang w:val="en-US" w:eastAsia="zh-CN" w:bidi="ar-SA"/>
        </w:rPr>
        <w:t>供应商（盖章）：</w:t>
      </w:r>
      <w:r>
        <w:rPr>
          <w:rFonts w:hint="eastAsia" w:ascii="仿宋" w:hAnsi="仿宋" w:eastAsia="仿宋" w:cs="仿宋"/>
          <w:b w:val="0"/>
          <w:bCs w:val="0"/>
          <w:kern w:val="2"/>
          <w:sz w:val="28"/>
          <w:szCs w:val="28"/>
          <w:u w:val="single"/>
          <w:lang w:val="en-US" w:eastAsia="zh-CN" w:bidi="ar-SA"/>
        </w:rPr>
        <w:t xml:space="preserve">                </w:t>
      </w:r>
    </w:p>
    <w:p w14:paraId="7ACE86D0">
      <w:pPr>
        <w:ind w:firstLine="3640" w:firstLineChars="1300"/>
        <w:rPr>
          <w:rFonts w:hint="default" w:ascii="仿宋" w:hAnsi="仿宋" w:eastAsia="仿宋" w:cs="仿宋"/>
          <w:b w:val="0"/>
          <w:bCs w:val="0"/>
          <w:kern w:val="2"/>
          <w:sz w:val="28"/>
          <w:szCs w:val="28"/>
          <w:u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kern w:val="2"/>
          <w:sz w:val="28"/>
          <w:szCs w:val="28"/>
          <w:u w:val="none"/>
          <w:lang w:val="en-US" w:eastAsia="zh-CN" w:bidi="ar-SA"/>
        </w:rPr>
        <w:t>日</w:t>
      </w:r>
      <w:r>
        <w:rPr>
          <w:rFonts w:hint="default" w:ascii="仿宋" w:hAnsi="仿宋" w:eastAsia="仿宋" w:cs="仿宋"/>
          <w:b w:val="0"/>
          <w:bCs w:val="0"/>
          <w:kern w:val="2"/>
          <w:sz w:val="28"/>
          <w:szCs w:val="28"/>
          <w:u w:val="none"/>
          <w:lang w:eastAsia="zh-CN" w:bidi="ar-SA"/>
        </w:rPr>
        <w:t xml:space="preserve">    </w:t>
      </w:r>
      <w:r>
        <w:rPr>
          <w:rFonts w:hint="eastAsia" w:ascii="仿宋" w:hAnsi="仿宋" w:eastAsia="仿宋" w:cs="仿宋"/>
          <w:b w:val="0"/>
          <w:bCs w:val="0"/>
          <w:kern w:val="2"/>
          <w:sz w:val="28"/>
          <w:szCs w:val="28"/>
          <w:u w:val="none"/>
          <w:lang w:val="en-US" w:eastAsia="zh-CN" w:bidi="ar-SA"/>
        </w:rPr>
        <w:t>期：</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725"/>
        <w:gridCol w:w="4471"/>
        <w:gridCol w:w="1080"/>
        <w:gridCol w:w="1080"/>
        <w:gridCol w:w="1515"/>
        <w:gridCol w:w="1080"/>
        <w:gridCol w:w="1155"/>
        <w:gridCol w:w="1500"/>
      </w:tblGrid>
      <w:tr w14:paraId="169B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4ADAE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2D72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CF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8B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7E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05CFE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0E1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05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83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73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1F68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EE3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C8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292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D541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396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60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D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C0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2863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F65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0B8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4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22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17CE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E1D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2C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D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EE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6D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CC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CF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所投</w:t>
            </w:r>
            <w:r>
              <w:rPr>
                <w:rFonts w:hint="eastAsia" w:ascii="宋体" w:hAnsi="宋体" w:eastAsia="宋体" w:cs="宋体"/>
                <w:i w:val="0"/>
                <w:iCs w:val="0"/>
                <w:color w:val="000000"/>
                <w:kern w:val="0"/>
                <w:sz w:val="24"/>
                <w:szCs w:val="24"/>
                <w:u w:val="none"/>
                <w:lang w:val="en-US" w:eastAsia="zh-CN" w:bidi="ar"/>
              </w:rPr>
              <w:t>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695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80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9C8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6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F5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51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CB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B4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4B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B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EE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39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A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C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诱导屏专用控制器</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D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1、名称：交通诱导屏专用远程控制系统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2、技术参数：                                              （1）工业级设计：工程塑料外壳，高强度，高散热，避免公共场所电磁干扰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（2）性能强劲：主流4核CPU，支持4K解码 </w:t>
            </w:r>
            <w:r>
              <w:rPr>
                <w:rFonts w:ascii="Wingdings 2" w:hAnsi="Wingdings 2" w:eastAsia="Wingdings 2" w:cs="Wingdings 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素材丰富：支持图片、视频、音频、PDF，时间、倒计时、天气、网页、流媒体、监控、文本字符、滚动字幕、信息通知；支持 素材动效，适应不同发布场景；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（3）多样展示：画面任意分割进行素材展示，支持循环、定时、插播、垫片等多种播放模式；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（4）远程管理：统一远程集群管理，节目分时分地管理，定时开关机，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（5）更新便捷：支持远程平台下发，支持本地U盘插入直接播放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（6）▲系统需支持无缝结入淮安市交警支队现有的发布平台。（如产生二次开发等费用均有供应商承担）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3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4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B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55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A8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73BB4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原诱导屏品牌为“</w:t>
            </w:r>
            <w:r>
              <w:rPr>
                <w:rFonts w:hint="eastAsia" w:ascii="宋体" w:hAnsi="宋体" w:eastAsia="宋体" w:cs="宋体"/>
                <w:i w:val="0"/>
                <w:iCs w:val="0"/>
                <w:color w:val="000000"/>
                <w:kern w:val="0"/>
                <w:sz w:val="24"/>
                <w:szCs w:val="24"/>
                <w:u w:val="none"/>
                <w:lang w:val="en-US" w:eastAsia="zh-CN" w:bidi="ar"/>
              </w:rPr>
              <w:t>洛普</w:t>
            </w:r>
            <w:r>
              <w:rPr>
                <w:rFonts w:hint="eastAsia" w:ascii="宋体" w:hAnsi="宋体" w:cs="宋体"/>
                <w:i w:val="0"/>
                <w:iCs w:val="0"/>
                <w:color w:val="000000"/>
                <w:kern w:val="0"/>
                <w:sz w:val="24"/>
                <w:szCs w:val="24"/>
                <w:u w:val="none"/>
                <w:lang w:val="en-US" w:eastAsia="zh-CN" w:bidi="ar"/>
              </w:rPr>
              <w:t>”</w:t>
            </w:r>
          </w:p>
          <w:p w14:paraId="66DE48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p>
        </w:tc>
      </w:tr>
      <w:tr w14:paraId="25F7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E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9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交通诱导屏专用控制卡</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0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集成50P排针接口，可任意配转接板：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•减少接插连接件，减少故障点，故障率更低；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•支持常规芯片实现高刷新、高灰度、高亮度；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•全新灰度引擎，低灰度表现更佳；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•细节处理更完美，可消除单元板设计引起的某行偏暗、低灰偏红、鬼影等细节问题；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•支持14bit精度逐点校正；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•支持所有常规芯片、PWM芯片和灯饰芯片；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•支持静态屏、1/2~1/32扫之间的任意扫描类型；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•支持任意抽点，支持数据偏移，可轻松实现各种异型屏、球形屏、创意显示屏；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•单卡支持32组RGB信号输出；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•支持超大带载面积,单卡带载128*1024，256*512；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•先进设计，优质元器件，全自动高低温老化测试，零故障出厂；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•支持DC 3.3V~6V超宽工作电压，有效减弱电压波动带来的影响；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支持电源反接保护电路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6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AE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C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75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E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94888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AF1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7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F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诱导屏专用电源</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9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9v400w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9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A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55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7D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61D6F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A5B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2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诱导屏专用单元板</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0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‌诱导屏单元板型号‌：PH16。像素点间距分别为16mm，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‌亮度‌：亮度要求≥10000cd/㎡，并且具备自动亮度调节功能，可以根据光亮强度自动调节亮度，以控制能耗‌‌1。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‌平均功率‌：平均功率≤400W/㎡，采用高效的LED聚光灯组，降低能耗同时提高亮度‌‌1。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‌可视角度‌：可视角度≥110°，适合车流方向的视角聚焦‌‌1。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‌像素失控率‌：像素失控率&lt;0.1‰，确保显示效果‌‌1。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‌灰度等级‌：红绿各256级，提供丰富的色彩表现‌‌2。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‌控制方式‌：支持异步或同步控制，需接入交通信息发布平台，并支持通讯协议数据加密‌‌2。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‌有效可视距离‌：在环境照度大于50000lx的条件下，动态视认距离≥250m，静态视认距离≥300m‌‌1。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‌抗风强度‌：抗风强度为40m/s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‌电压‌：工作电压为AC380V(或AC220V)±10%，频率为50±3HZ‌‌1。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‌工作温度和湿度‌：工作温度范围为-40℃-+65℃，湿度范围为0-98%‌‌1。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AC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5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1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02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A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7C855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5F3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排线</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D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FC8P扁平双头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A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A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D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60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BFA07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C6A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7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6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94F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
                  <wp:cNvGraphicFramePr/>
                  <a:graphic xmlns:a="http://schemas.openxmlformats.org/drawingml/2006/main">
                    <a:graphicData uri="http://schemas.openxmlformats.org/drawingml/2006/picture">
                      <pic:pic xmlns:pic="http://schemas.openxmlformats.org/drawingml/2006/picture">
                        <pic:nvPicPr>
                          <pic:cNvPr id="5"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9"/>
                  <wp:cNvGraphicFramePr/>
                  <a:graphic xmlns:a="http://schemas.openxmlformats.org/drawingml/2006/main">
                    <a:graphicData uri="http://schemas.openxmlformats.org/drawingml/2006/picture">
                      <pic:pic xmlns:pic="http://schemas.openxmlformats.org/drawingml/2006/picture">
                        <pic:nvPicPr>
                          <pic:cNvPr id="4"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1"/>
                  <wp:cNvGraphicFramePr/>
                  <a:graphic xmlns:a="http://schemas.openxmlformats.org/drawingml/2006/main">
                    <a:graphicData uri="http://schemas.openxmlformats.org/drawingml/2006/picture">
                      <pic:pic xmlns:pic="http://schemas.openxmlformats.org/drawingml/2006/picture">
                        <pic:nvPicPr>
                          <pic:cNvPr id="6"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9_SpCnt_1"/>
                  <wp:cNvGraphicFramePr/>
                  <a:graphic xmlns:a="http://schemas.openxmlformats.org/drawingml/2006/main">
                    <a:graphicData uri="http://schemas.openxmlformats.org/drawingml/2006/picture">
                      <pic:pic xmlns:pic="http://schemas.openxmlformats.org/drawingml/2006/picture">
                        <pic:nvPicPr>
                          <pic:cNvPr id="7"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2"/>
                  <wp:cNvGraphicFramePr/>
                  <a:graphic xmlns:a="http://schemas.openxmlformats.org/drawingml/2006/main">
                    <a:graphicData uri="http://schemas.openxmlformats.org/drawingml/2006/picture">
                      <pic:pic xmlns:pic="http://schemas.openxmlformats.org/drawingml/2006/picture">
                        <pic:nvPicPr>
                          <pic:cNvPr id="8"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10"/>
                  <wp:cNvGraphicFramePr/>
                  <a:graphic xmlns:a="http://schemas.openxmlformats.org/drawingml/2006/main">
                    <a:graphicData uri="http://schemas.openxmlformats.org/drawingml/2006/picture">
                      <pic:pic xmlns:pic="http://schemas.openxmlformats.org/drawingml/2006/picture">
                        <pic:nvPicPr>
                          <pic:cNvPr id="9"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9_SpCnt_2"/>
                  <wp:cNvGraphicFramePr/>
                  <a:graphic xmlns:a="http://schemas.openxmlformats.org/drawingml/2006/main">
                    <a:graphicData uri="http://schemas.openxmlformats.org/drawingml/2006/picture">
                      <pic:pic xmlns:pic="http://schemas.openxmlformats.org/drawingml/2006/picture">
                        <pic:nvPicPr>
                          <pic:cNvPr id="10"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7"/>
                  <wp:cNvGraphicFramePr/>
                  <a:graphic xmlns:a="http://schemas.openxmlformats.org/drawingml/2006/main">
                    <a:graphicData uri="http://schemas.openxmlformats.org/drawingml/2006/picture">
                      <pic:pic xmlns:pic="http://schemas.openxmlformats.org/drawingml/2006/picture">
                        <pic:nvPicPr>
                          <pic:cNvPr id="11"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5_SpCnt_2"/>
                  <wp:cNvGraphicFramePr/>
                  <a:graphic xmlns:a="http://schemas.openxmlformats.org/drawingml/2006/main">
                    <a:graphicData uri="http://schemas.openxmlformats.org/drawingml/2006/picture">
                      <pic:pic xmlns:pic="http://schemas.openxmlformats.org/drawingml/2006/picture">
                        <pic:nvPicPr>
                          <pic:cNvPr id="12"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4"/>
                  <wp:cNvGraphicFramePr/>
                  <a:graphic xmlns:a="http://schemas.openxmlformats.org/drawingml/2006/main">
                    <a:graphicData uri="http://schemas.openxmlformats.org/drawingml/2006/picture">
                      <pic:pic xmlns:pic="http://schemas.openxmlformats.org/drawingml/2006/picture">
                        <pic:nvPicPr>
                          <pic:cNvPr id="13"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2_SpCnt_1"/>
                  <wp:cNvGraphicFramePr/>
                  <a:graphic xmlns:a="http://schemas.openxmlformats.org/drawingml/2006/main">
                    <a:graphicData uri="http://schemas.openxmlformats.org/drawingml/2006/picture">
                      <pic:pic xmlns:pic="http://schemas.openxmlformats.org/drawingml/2006/picture">
                        <pic:nvPicPr>
                          <pic:cNvPr id="14"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7_SpCnt_1"/>
                  <wp:cNvGraphicFramePr/>
                  <a:graphic xmlns:a="http://schemas.openxmlformats.org/drawingml/2006/main">
                    <a:graphicData uri="http://schemas.openxmlformats.org/drawingml/2006/picture">
                      <pic:pic xmlns:pic="http://schemas.openxmlformats.org/drawingml/2006/picture">
                        <pic:nvPicPr>
                          <pic:cNvPr id="18"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5_SpCnt_3"/>
                  <wp:cNvGraphicFramePr/>
                  <a:graphic xmlns:a="http://schemas.openxmlformats.org/drawingml/2006/main">
                    <a:graphicData uri="http://schemas.openxmlformats.org/drawingml/2006/picture">
                      <pic:pic xmlns:pic="http://schemas.openxmlformats.org/drawingml/2006/picture">
                        <pic:nvPicPr>
                          <pic:cNvPr id="19"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4_SpCnt_1"/>
                  <wp:cNvGraphicFramePr/>
                  <a:graphic xmlns:a="http://schemas.openxmlformats.org/drawingml/2006/main">
                    <a:graphicData uri="http://schemas.openxmlformats.org/drawingml/2006/picture">
                      <pic:pic xmlns:pic="http://schemas.openxmlformats.org/drawingml/2006/picture">
                        <pic:nvPicPr>
                          <pic:cNvPr id="1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2"/>
                  <wp:cNvGraphicFramePr/>
                  <a:graphic xmlns:a="http://schemas.openxmlformats.org/drawingml/2006/main">
                    <a:graphicData uri="http://schemas.openxmlformats.org/drawingml/2006/picture">
                      <pic:pic xmlns:pic="http://schemas.openxmlformats.org/drawingml/2006/picture">
                        <pic:nvPicPr>
                          <pic:cNvPr id="17"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10_SpCnt_2"/>
                  <wp:cNvGraphicFramePr/>
                  <a:graphic xmlns:a="http://schemas.openxmlformats.org/drawingml/2006/main">
                    <a:graphicData uri="http://schemas.openxmlformats.org/drawingml/2006/picture">
                      <pic:pic xmlns:pic="http://schemas.openxmlformats.org/drawingml/2006/picture">
                        <pic:nvPicPr>
                          <pic:cNvPr id="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9_SpCnt_3"/>
                  <wp:cNvGraphicFramePr/>
                  <a:graphic xmlns:a="http://schemas.openxmlformats.org/drawingml/2006/main">
                    <a:graphicData uri="http://schemas.openxmlformats.org/drawingml/2006/picture">
                      <pic:pic xmlns:pic="http://schemas.openxmlformats.org/drawingml/2006/picture">
                        <pic:nvPicPr>
                          <pic:cNvPr id="3"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4_SpCnt_2"/>
                  <wp:cNvGraphicFramePr/>
                  <a:graphic xmlns:a="http://schemas.openxmlformats.org/drawingml/2006/main">
                    <a:graphicData uri="http://schemas.openxmlformats.org/drawingml/2006/picture">
                      <pic:pic xmlns:pic="http://schemas.openxmlformats.org/drawingml/2006/picture">
                        <pic:nvPicPr>
                          <pic:cNvPr id="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7_SpCnt_2"/>
                  <wp:cNvGraphicFramePr/>
                  <a:graphic xmlns:a="http://schemas.openxmlformats.org/drawingml/2006/main">
                    <a:graphicData uri="http://schemas.openxmlformats.org/drawingml/2006/picture">
                      <pic:pic xmlns:pic="http://schemas.openxmlformats.org/drawingml/2006/picture">
                        <pic:nvPicPr>
                          <pic:cNvPr id="20"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2_SpCnt_3"/>
                  <wp:cNvGraphicFramePr/>
                  <a:graphic xmlns:a="http://schemas.openxmlformats.org/drawingml/2006/main">
                    <a:graphicData uri="http://schemas.openxmlformats.org/drawingml/2006/picture">
                      <pic:pic xmlns:pic="http://schemas.openxmlformats.org/drawingml/2006/picture">
                        <pic:nvPicPr>
                          <pic:cNvPr id="21"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7_SpCnt_3"/>
                  <wp:cNvGraphicFramePr/>
                  <a:graphic xmlns:a="http://schemas.openxmlformats.org/drawingml/2006/main">
                    <a:graphicData uri="http://schemas.openxmlformats.org/drawingml/2006/picture">
                      <pic:pic xmlns:pic="http://schemas.openxmlformats.org/drawingml/2006/picture">
                        <pic:nvPicPr>
                          <pic:cNvPr id="22"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0_SpCnt_3"/>
                  <wp:cNvGraphicFramePr/>
                  <a:graphic xmlns:a="http://schemas.openxmlformats.org/drawingml/2006/main">
                    <a:graphicData uri="http://schemas.openxmlformats.org/drawingml/2006/picture">
                      <pic:pic xmlns:pic="http://schemas.openxmlformats.org/drawingml/2006/picture">
                        <pic:nvPicPr>
                          <pic:cNvPr id="2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5642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5DE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0715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56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46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E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BDB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987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48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6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F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ED3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66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E0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F8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9E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7D95EF5"/>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09B5390"/>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49660E"/>
    <w:rsid w:val="65F729C7"/>
    <w:rsid w:val="66934D57"/>
    <w:rsid w:val="66A27154"/>
    <w:rsid w:val="66A65625"/>
    <w:rsid w:val="66A80E51"/>
    <w:rsid w:val="677551D7"/>
    <w:rsid w:val="698D373B"/>
    <w:rsid w:val="69FD1FFD"/>
    <w:rsid w:val="6A2B5BCA"/>
    <w:rsid w:val="6A3C6480"/>
    <w:rsid w:val="6AA75C6E"/>
    <w:rsid w:val="6AB25B1C"/>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AD32AD"/>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4883</Words>
  <Characters>5079</Characters>
  <Lines>0</Lines>
  <Paragraphs>0</Paragraphs>
  <TotalTime>0</TotalTime>
  <ScaleCrop>false</ScaleCrop>
  <LinksUpToDate>false</LinksUpToDate>
  <CharactersWithSpaces>5840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荸荠</cp:lastModifiedBy>
  <cp:lastPrinted>2023-11-07T01:59:00Z</cp:lastPrinted>
  <dcterms:modified xsi:type="dcterms:W3CDTF">2025-07-18T08:24:28Z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6CDDB433E7424ACEA51F7958CDCC0BA8_13</vt:lpwstr>
  </property>
  <property fmtid="{D5CDD505-2E9C-101B-9397-08002B2CF9AE}" pid="4" name="KSOTemplateDocerSaveRecord">
    <vt:lpwstr>eyJoZGlkIjoiMTdmMDNkNWQ0ZWMxNjY0YzI3ODdkN2UzOWY5OGRlNzEiLCJ1c2VySWQiOiI2OTk3Mjg4NzkifQ==</vt:lpwstr>
  </property>
</Properties>
</file>