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C9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411206BE">
      <w:pPr>
        <w:rPr>
          <w:rFonts w:hint="eastAsia"/>
          <w:lang w:val="en-US" w:eastAsia="zh-CN"/>
        </w:rPr>
      </w:pPr>
    </w:p>
    <w:p w14:paraId="6371C2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0D563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7D27C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软件</w:t>
      </w:r>
      <w:r>
        <w:rPr>
          <w:rFonts w:hint="eastAsia" w:ascii="宋体" w:hAnsi="宋体" w:eastAsia="宋体" w:cs="宋体"/>
          <w:b/>
          <w:bCs w:val="0"/>
          <w:i w:val="0"/>
          <w:iCs w:val="0"/>
          <w:color w:val="000000"/>
          <w:kern w:val="0"/>
          <w:sz w:val="48"/>
          <w:szCs w:val="48"/>
          <w:u w:val="none"/>
          <w:lang w:val="en-US" w:eastAsia="zh-CN" w:bidi="ar"/>
        </w:rPr>
        <w:t>采购询价文件</w:t>
      </w:r>
    </w:p>
    <w:p w14:paraId="3B6B09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D313784">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D8AE2C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6924B8A4">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35BEDFD">
      <w:pPr>
        <w:pStyle w:val="22"/>
        <w:rPr>
          <w:rFonts w:hint="eastAsia"/>
          <w:lang w:val="en-US" w:eastAsia="zh-CN"/>
        </w:rPr>
      </w:pPr>
    </w:p>
    <w:p w14:paraId="1039C74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BE930E5">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8CB2F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FF6321F">
      <w:pPr>
        <w:pStyle w:val="5"/>
        <w:numPr>
          <w:ilvl w:val="0"/>
          <w:numId w:val="2"/>
        </w:numPr>
        <w:bidi w:val="0"/>
        <w:ind w:left="0" w:leftChars="0" w:firstLine="420" w:firstLineChars="0"/>
        <w:jc w:val="center"/>
      </w:pPr>
      <w:r>
        <w:rPr>
          <w:rFonts w:hint="eastAsia"/>
        </w:rPr>
        <w:t>报 价 函</w:t>
      </w:r>
    </w:p>
    <w:p w14:paraId="5494FE2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3DB5C46">
      <w:pPr>
        <w:spacing w:line="360" w:lineRule="auto"/>
        <w:ind w:firstLine="480"/>
        <w:rPr>
          <w:rFonts w:hint="eastAsia" w:ascii="仿宋" w:hAnsi="仿宋" w:eastAsia="仿宋" w:cs="仿宋"/>
          <w:sz w:val="28"/>
          <w:szCs w:val="28"/>
        </w:rPr>
      </w:pPr>
    </w:p>
    <w:p w14:paraId="427E8BA9">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181E4E9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984B332">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9666EB0">
      <w:pPr>
        <w:spacing w:line="360" w:lineRule="auto"/>
        <w:ind w:firstLine="480"/>
        <w:rPr>
          <w:szCs w:val="24"/>
        </w:rPr>
      </w:pPr>
    </w:p>
    <w:p w14:paraId="512122F4">
      <w:pPr>
        <w:spacing w:line="360" w:lineRule="auto"/>
        <w:ind w:firstLine="480"/>
        <w:rPr>
          <w:szCs w:val="24"/>
        </w:rPr>
      </w:pPr>
    </w:p>
    <w:p w14:paraId="6FA1C65F">
      <w:pPr>
        <w:spacing w:line="360" w:lineRule="auto"/>
        <w:ind w:firstLine="480"/>
        <w:rPr>
          <w:rFonts w:hint="eastAsia" w:ascii="仿宋" w:hAnsi="仿宋" w:eastAsia="仿宋" w:cs="仿宋"/>
          <w:sz w:val="28"/>
          <w:szCs w:val="28"/>
        </w:rPr>
      </w:pPr>
    </w:p>
    <w:p w14:paraId="74D69EE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02CF02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B2AC71A">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737CB0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B3C757C">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001DC8D3">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0F5875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E5A69E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21BE185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3A663BC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26B6B7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6B28BD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8B3C2F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4D7C416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5B942C5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5710FC4B">
      <w:pPr>
        <w:ind w:firstLine="482"/>
        <w:rPr>
          <w:rFonts w:hint="eastAsia" w:ascii="仿宋" w:hAnsi="仿宋" w:eastAsia="仿宋" w:cs="仿宋"/>
          <w:b/>
          <w:bCs/>
          <w:sz w:val="28"/>
          <w:szCs w:val="28"/>
          <w:lang w:val="zh-CN"/>
        </w:rPr>
      </w:pPr>
    </w:p>
    <w:p w14:paraId="309CA5B1">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FD3AD20">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597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2C684B6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6703D4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034B756">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170A1116">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1C79971E">
      <w:pPr>
        <w:rPr>
          <w:rFonts w:hint="eastAsia"/>
          <w:lang w:val="zh-CN" w:eastAsia="zh-CN"/>
        </w:rPr>
      </w:pPr>
    </w:p>
    <w:p w14:paraId="75FE48B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B25609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3562CF6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7A663B2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4C8345B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EACB40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D1FEE8D">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5DBF2895">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1AC7CB01">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D8A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06A86A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C1D126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4AE7E67B">
      <w:pPr>
        <w:rPr>
          <w:rFonts w:hint="eastAsia"/>
        </w:rPr>
      </w:pPr>
      <w:r>
        <w:rPr>
          <w:rFonts w:hint="eastAsia"/>
        </w:rPr>
        <w:br w:type="page"/>
      </w:r>
    </w:p>
    <w:p w14:paraId="3532B5DA">
      <w:pPr>
        <w:pStyle w:val="15"/>
        <w:rPr>
          <w:rFonts w:hint="eastAsia"/>
        </w:rPr>
        <w:sectPr>
          <w:pgSz w:w="11906" w:h="16838"/>
          <w:pgMar w:top="1440" w:right="1800" w:bottom="1440" w:left="1800" w:header="851" w:footer="992" w:gutter="0"/>
          <w:cols w:space="425" w:num="1"/>
          <w:docGrid w:type="lines" w:linePitch="312" w:charSpace="0"/>
        </w:sectPr>
      </w:pPr>
    </w:p>
    <w:p w14:paraId="26C2214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9F3F540">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458"/>
        <w:gridCol w:w="5446"/>
        <w:gridCol w:w="1039"/>
        <w:gridCol w:w="969"/>
        <w:gridCol w:w="1647"/>
        <w:gridCol w:w="1584"/>
        <w:gridCol w:w="1062"/>
      </w:tblGrid>
      <w:tr w14:paraId="63DC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8"/>
            <w:tcBorders>
              <w:top w:val="nil"/>
              <w:left w:val="nil"/>
              <w:bottom w:val="nil"/>
              <w:right w:val="nil"/>
            </w:tcBorders>
            <w:shd w:val="clear" w:color="auto" w:fill="auto"/>
            <w:vAlign w:val="center"/>
          </w:tcPr>
          <w:p w14:paraId="5CAD4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2865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3F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7E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5A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2C3">
            <w:pPr>
              <w:jc w:val="center"/>
              <w:rPr>
                <w:rFonts w:hint="eastAsia" w:ascii="宋体" w:hAnsi="宋体" w:eastAsia="宋体" w:cs="宋体"/>
                <w:i w:val="0"/>
                <w:iCs w:val="0"/>
                <w:color w:val="FF0000"/>
                <w:sz w:val="22"/>
                <w:szCs w:val="22"/>
                <w:u w:val="none"/>
              </w:rPr>
            </w:pPr>
          </w:p>
        </w:tc>
      </w:tr>
      <w:tr w14:paraId="640F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80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831">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517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30C">
            <w:pPr>
              <w:jc w:val="center"/>
              <w:rPr>
                <w:rFonts w:hint="eastAsia" w:ascii="宋体" w:hAnsi="宋体" w:eastAsia="宋体" w:cs="宋体"/>
                <w:i w:val="0"/>
                <w:iCs w:val="0"/>
                <w:color w:val="FF0000"/>
                <w:sz w:val="22"/>
                <w:szCs w:val="22"/>
                <w:u w:val="none"/>
              </w:rPr>
            </w:pPr>
          </w:p>
        </w:tc>
      </w:tr>
      <w:tr w14:paraId="707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A36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A7B">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C1D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56A6">
            <w:pPr>
              <w:jc w:val="center"/>
              <w:rPr>
                <w:rFonts w:hint="eastAsia" w:ascii="宋体" w:hAnsi="宋体" w:eastAsia="宋体" w:cs="宋体"/>
                <w:i w:val="0"/>
                <w:iCs w:val="0"/>
                <w:color w:val="FF0000"/>
                <w:sz w:val="22"/>
                <w:szCs w:val="22"/>
                <w:u w:val="none"/>
              </w:rPr>
            </w:pPr>
          </w:p>
        </w:tc>
      </w:tr>
      <w:tr w14:paraId="42B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46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956">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2FF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DD4D">
            <w:pPr>
              <w:jc w:val="center"/>
              <w:rPr>
                <w:rFonts w:hint="eastAsia" w:ascii="宋体" w:hAnsi="宋体" w:eastAsia="宋体" w:cs="宋体"/>
                <w:i w:val="0"/>
                <w:iCs w:val="0"/>
                <w:color w:val="FF0000"/>
                <w:sz w:val="22"/>
                <w:szCs w:val="22"/>
                <w:u w:val="none"/>
              </w:rPr>
            </w:pPr>
          </w:p>
        </w:tc>
      </w:tr>
      <w:tr w14:paraId="05F1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40B8">
            <w:pPr>
              <w:jc w:val="center"/>
              <w:rPr>
                <w:rFonts w:hint="eastAsia" w:ascii="宋体" w:hAnsi="宋体" w:eastAsia="宋体" w:cs="宋体"/>
                <w:i w:val="0"/>
                <w:iCs w:val="0"/>
                <w:color w:val="000000"/>
                <w:sz w:val="24"/>
                <w:szCs w:val="24"/>
                <w:u w:val="none"/>
              </w:rPr>
            </w:pP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9365">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CE6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D6E1">
            <w:pPr>
              <w:jc w:val="center"/>
              <w:rPr>
                <w:rFonts w:hint="eastAsia" w:ascii="宋体" w:hAnsi="宋体" w:eastAsia="宋体" w:cs="宋体"/>
                <w:i w:val="0"/>
                <w:iCs w:val="0"/>
                <w:color w:val="FF0000"/>
                <w:sz w:val="22"/>
                <w:szCs w:val="22"/>
                <w:u w:val="none"/>
              </w:rPr>
            </w:pPr>
          </w:p>
        </w:tc>
      </w:tr>
      <w:tr w14:paraId="48F0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ADF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75BD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3B6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81A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B95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3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145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AC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639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F7FB">
            <w:pPr>
              <w:jc w:val="center"/>
              <w:rPr>
                <w:rFonts w:hint="eastAsia" w:ascii="宋体" w:hAnsi="宋体" w:eastAsia="宋体" w:cs="宋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667">
            <w:pPr>
              <w:jc w:val="center"/>
              <w:rPr>
                <w:rFonts w:hint="eastAsia" w:ascii="宋体" w:hAnsi="宋体" w:eastAsia="宋体" w:cs="宋体"/>
                <w:i w:val="0"/>
                <w:iCs w:val="0"/>
                <w:color w:val="000000"/>
                <w:sz w:val="24"/>
                <w:szCs w:val="24"/>
                <w:u w:val="none"/>
              </w:rPr>
            </w:pPr>
          </w:p>
        </w:tc>
        <w:tc>
          <w:tcPr>
            <w:tcW w:w="5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2D71">
            <w:pPr>
              <w:jc w:val="center"/>
              <w:rPr>
                <w:rFonts w:hint="eastAsia" w:ascii="宋体" w:hAnsi="宋体" w:eastAsia="宋体" w:cs="宋体"/>
                <w:i w:val="0"/>
                <w:iCs w:val="0"/>
                <w:color w:val="000000"/>
                <w:sz w:val="24"/>
                <w:szCs w:val="24"/>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18A3">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729C1E">
            <w:pPr>
              <w:jc w:val="center"/>
              <w:rPr>
                <w:rFonts w:hint="eastAsia" w:ascii="宋体" w:hAnsi="宋体" w:eastAsia="宋体" w:cs="宋体"/>
                <w:i w:val="0"/>
                <w:iCs w:val="0"/>
                <w:color w:val="000000"/>
                <w:sz w:val="24"/>
                <w:szCs w:val="24"/>
                <w:u w:val="none"/>
              </w:rPr>
            </w:pPr>
          </w:p>
        </w:tc>
        <w:tc>
          <w:tcPr>
            <w:tcW w:w="16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AD5F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1584"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535E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ABD3F68">
            <w:pPr>
              <w:jc w:val="center"/>
              <w:rPr>
                <w:rFonts w:hint="eastAsia" w:ascii="宋体" w:hAnsi="宋体" w:eastAsia="宋体" w:cs="宋体"/>
                <w:i w:val="0"/>
                <w:iCs w:val="0"/>
                <w:color w:val="000000"/>
                <w:sz w:val="24"/>
                <w:szCs w:val="24"/>
                <w:u w:val="none"/>
              </w:rPr>
            </w:pPr>
          </w:p>
        </w:tc>
      </w:tr>
      <w:tr w14:paraId="297E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A5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D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大数据软件</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DE3">
            <w:pPr>
              <w:keepNext w:val="0"/>
              <w:keepLines w:val="0"/>
              <w:widowControl/>
              <w:suppressLineNumbers w:val="0"/>
              <w:spacing w:line="240" w:lineRule="auto"/>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华为，FusionInsight MRS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1.★包含不少于6节点（不计核心数、线程及vCPU数）授权，需与公安工作现有系统兼容，满足公安系统部署要求；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2.具备一站式大数据处理分析能力、数据接入和数据存储功能，提供计算分析、实时流处理能力，包含Hadoop软件套件；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3.支持多租户管理，实现租户资源的配置和管理，资源使用统计等功能；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4.集群管理软件提供web图形化界面对集群服务器角色，配置和状态进行管理；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FF0000"/>
                <w:kern w:val="0"/>
                <w:sz w:val="22"/>
                <w:szCs w:val="22"/>
                <w:u w:val="none"/>
                <w:lang w:val="en-US" w:eastAsia="zh-CN" w:bidi="ar"/>
              </w:rPr>
              <w:t>5.★单集群支持3万节点的管理能力，在运维管理、多租户支持、高可用、安全、兼容性、扩展性、数据处理、易用性方面，均满足分布式批处理平台基础能力要求（提供第三方权威机构出具的测评证书扫描件加盖投标人电子印章，未提供作无效文件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6.运维管理平台系统在内的所有业务组件的管理节点均实现双机HA，业务无单点故障；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7.大数据平台支持单集群跨AZ部署，单AZ故障，数据不丢失，业务无影响；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8.大数据平台提供基于Hadoop的SQL引擎，支持多租户，实现SQL的解析、计划、优化、执行，数据的并行查询，支持JDBC、ODBC标准接口，兼容Hive的ORC文件存储格式；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9.可靠性：满足在CPU高负载、硬盘高负载、内存高负载、读写高负载、网络抖动、网络丢包、网络包损坏场景下，基本功能连续，并维持一定的性能；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10.支持标准加密算法AES、支持国密算法SM4，并支持自定义加密算法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11.★提供产品安装服务，并配合完成相关业务系统部署，产品技术支持服务三年，</w:t>
            </w:r>
            <w:r>
              <w:rPr>
                <w:rFonts w:hint="eastAsia" w:ascii="宋体" w:hAnsi="宋体" w:eastAsia="宋体" w:cs="宋体"/>
                <w:b/>
                <w:bCs/>
                <w:i w:val="0"/>
                <w:iCs w:val="0"/>
                <w:color w:val="FF0000"/>
                <w:kern w:val="0"/>
                <w:sz w:val="22"/>
                <w:szCs w:val="22"/>
                <w:u w:val="none"/>
                <w:lang w:val="en-US" w:eastAsia="zh-CN" w:bidi="ar"/>
              </w:rPr>
              <w:t>400免费技术支持电话。</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0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D28CB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5D506F33">
            <w:pPr>
              <w:jc w:val="center"/>
              <w:rPr>
                <w:rFonts w:hint="eastAsia" w:ascii="宋体" w:hAnsi="宋体" w:eastAsia="宋体" w:cs="宋体"/>
                <w:i w:val="0"/>
                <w:iCs w:val="0"/>
                <w:color w:val="000000"/>
                <w:sz w:val="24"/>
                <w:szCs w:val="24"/>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5C0A1D01">
            <w:pPr>
              <w:jc w:val="center"/>
            </w:pPr>
          </w:p>
        </w:tc>
        <w:tc>
          <w:tcPr>
            <w:tcW w:w="1062" w:type="dxa"/>
            <w:vMerge w:val="restart"/>
            <w:tcBorders>
              <w:top w:val="single" w:color="auto" w:sz="4" w:space="0"/>
              <w:left w:val="single" w:color="auto" w:sz="4" w:space="0"/>
              <w:right w:val="single" w:color="auto" w:sz="4" w:space="0"/>
            </w:tcBorders>
            <w:shd w:val="clear" w:color="auto" w:fill="auto"/>
            <w:vAlign w:val="center"/>
          </w:tcPr>
          <w:p w14:paraId="2E7A7DB3">
            <w:pPr>
              <w:ind w:left="0" w:leftChars="0" w:firstLine="0" w:firstLineChars="0"/>
              <w:jc w:val="both"/>
              <w:rPr>
                <w:rFonts w:hint="eastAsia"/>
                <w:lang w:val="en-US" w:eastAsia="zh-CN"/>
              </w:rPr>
            </w:pPr>
          </w:p>
        </w:tc>
      </w:tr>
      <w:tr w14:paraId="6F04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87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40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多维分析软件</w:t>
            </w:r>
          </w:p>
        </w:tc>
        <w:tc>
          <w:tcPr>
            <w:tcW w:w="5446" w:type="dxa"/>
            <w:tcBorders>
              <w:top w:val="single" w:color="000000" w:sz="4" w:space="0"/>
              <w:left w:val="single" w:color="000000" w:sz="4" w:space="0"/>
              <w:bottom w:val="single" w:color="auto" w:sz="4" w:space="0"/>
              <w:right w:val="single" w:color="000000" w:sz="4" w:space="0"/>
            </w:tcBorders>
            <w:shd w:val="clear" w:color="auto" w:fill="auto"/>
            <w:vAlign w:val="center"/>
          </w:tcPr>
          <w:p w14:paraId="75AE93D7">
            <w:pPr>
              <w:keepNext w:val="0"/>
              <w:keepLines w:val="0"/>
              <w:widowControl/>
              <w:suppressLineNumbers w:val="0"/>
              <w:spacing w:line="240" w:lineRule="auto"/>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华为，华为云GaussDB(DWS)数据仓库软件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1.★包含不低于50TB容量授权；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2.采用列存储的MPP架构，系统组织使用并行的Shared Nothing分布式架构；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3.支持全对称分布式的Active-Active多节点集群架构，系统无单点故障；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4.支持单表和多表并发，满足在分布式架构下，能保证事务数据强一致性要求；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5.支持行、列存储方式，支持用户自定义表的存储格式，支持行列表关联运算；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FF0000"/>
                <w:kern w:val="0"/>
                <w:sz w:val="22"/>
                <w:szCs w:val="22"/>
                <w:u w:val="none"/>
                <w:lang w:val="en-US" w:eastAsia="zh-CN" w:bidi="ar"/>
              </w:rPr>
              <w:t>6.★单集群支持2000节点的管理能力，在基础能力、运维能力、兼容性、安全性、高可用、扩展能力方面，均满足分布式分析型数据库基础能力要求（提供第三方权威机构出具的测评证书扫描件加盖投标人电子印章，未提供作无效文件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7.支持任务并行分散到多个服务器和节点上，支持并行数据计算能力；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8.支持一套集群按服务器为单位划分多个逻辑子集群，实现逻辑子集群间物理资源隔离，计算弹性共享，数据授权访问；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9.★提供安装服务，并配合完成相关业务系统部署，产品技术支持服务三年，</w:t>
            </w:r>
            <w:r>
              <w:rPr>
                <w:rFonts w:hint="eastAsia" w:ascii="宋体" w:hAnsi="宋体" w:eastAsia="宋体" w:cs="宋体"/>
                <w:b/>
                <w:bCs/>
                <w:i w:val="0"/>
                <w:iCs w:val="0"/>
                <w:color w:val="FF0000"/>
                <w:kern w:val="0"/>
                <w:sz w:val="22"/>
                <w:szCs w:val="22"/>
                <w:u w:val="none"/>
                <w:lang w:val="en-US" w:eastAsia="zh-CN" w:bidi="ar"/>
              </w:rPr>
              <w:t>400免费技术支持电话。</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2320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0D924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443B4341">
            <w:pPr>
              <w:jc w:val="center"/>
              <w:rPr>
                <w:rFonts w:hint="eastAsia" w:ascii="宋体" w:hAnsi="宋体" w:eastAsia="宋体" w:cs="宋体"/>
                <w:i w:val="0"/>
                <w:iCs w:val="0"/>
                <w:color w:val="000000"/>
                <w:sz w:val="24"/>
                <w:szCs w:val="24"/>
                <w:u w:val="none"/>
              </w:rPr>
            </w:pP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B877765">
            <w:pPr>
              <w:jc w:val="center"/>
            </w:pPr>
          </w:p>
        </w:tc>
        <w:tc>
          <w:tcPr>
            <w:tcW w:w="1062" w:type="dxa"/>
            <w:vMerge w:val="continue"/>
            <w:tcBorders>
              <w:left w:val="single" w:color="auto" w:sz="4" w:space="0"/>
              <w:right w:val="single" w:color="auto" w:sz="4" w:space="0"/>
            </w:tcBorders>
            <w:shd w:val="clear" w:color="auto" w:fill="auto"/>
            <w:vAlign w:val="center"/>
          </w:tcPr>
          <w:p w14:paraId="3304FFE6">
            <w:pPr>
              <w:jc w:val="center"/>
              <w:rPr>
                <w:rFonts w:hint="eastAsia" w:ascii="宋体" w:hAnsi="宋体" w:eastAsia="宋体" w:cs="宋体"/>
                <w:i w:val="0"/>
                <w:iCs w:val="0"/>
                <w:color w:val="000000"/>
                <w:sz w:val="22"/>
                <w:szCs w:val="22"/>
                <w:u w:val="none"/>
                <w:lang w:val="en-US" w:eastAsia="zh-CN"/>
              </w:rPr>
            </w:pPr>
          </w:p>
        </w:tc>
      </w:tr>
      <w:tr w14:paraId="4D0C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42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bookmarkStart w:id="2" w:name="_GoBack" w:colFirst="5" w:colLast="5"/>
            <w:r>
              <w:rPr>
                <w:rFonts w:hint="eastAsia" w:ascii="宋体" w:hAnsi="宋体" w:cs="宋体"/>
                <w:i w:val="0"/>
                <w:iCs w:val="0"/>
                <w:color w:val="000000"/>
                <w:kern w:val="0"/>
                <w:sz w:val="21"/>
                <w:szCs w:val="21"/>
                <w:u w:val="none"/>
                <w:lang w:val="en-US" w:eastAsia="zh-CN" w:bidi="ar"/>
              </w:rPr>
              <w:t>3</w:t>
            </w:r>
          </w:p>
        </w:tc>
        <w:tc>
          <w:tcPr>
            <w:tcW w:w="8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A84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AFF7">
            <w:pPr>
              <w:jc w:val="cente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CD2">
            <w:pPr>
              <w:jc w:val="center"/>
            </w:pPr>
          </w:p>
        </w:tc>
        <w:tc>
          <w:tcPr>
            <w:tcW w:w="1062" w:type="dxa"/>
            <w:vMerge w:val="continue"/>
            <w:tcBorders>
              <w:left w:val="single" w:color="auto" w:sz="4" w:space="0"/>
              <w:bottom w:val="single" w:color="000000" w:sz="4" w:space="0"/>
              <w:right w:val="single" w:color="auto" w:sz="4" w:space="0"/>
            </w:tcBorders>
            <w:shd w:val="clear" w:color="auto" w:fill="auto"/>
            <w:vAlign w:val="center"/>
          </w:tcPr>
          <w:p w14:paraId="50AA6693">
            <w:pPr>
              <w:jc w:val="center"/>
            </w:pPr>
          </w:p>
        </w:tc>
      </w:tr>
      <w:bookmarkEnd w:id="2"/>
      <w:tr w14:paraId="6612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1ECC2">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注：以上报价含增值税专用发票、运费、安装调试费以及相关服务费用。</w:t>
            </w:r>
          </w:p>
        </w:tc>
      </w:tr>
      <w:tr w14:paraId="0CBB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85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793">
            <w:pPr>
              <w:jc w:val="center"/>
              <w:rPr>
                <w:rFonts w:hint="eastAsia" w:ascii="宋体" w:hAnsi="宋体" w:eastAsia="宋体" w:cs="宋体"/>
                <w:i w:val="0"/>
                <w:iCs w:val="0"/>
                <w:color w:val="FF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654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2D7B8">
            <w:pPr>
              <w:jc w:val="center"/>
              <w:rPr>
                <w:rFonts w:hint="eastAsia" w:ascii="宋体" w:hAnsi="宋体" w:eastAsia="宋体" w:cs="宋体"/>
                <w:i w:val="0"/>
                <w:iCs w:val="0"/>
                <w:color w:val="FF0000"/>
                <w:sz w:val="24"/>
                <w:szCs w:val="24"/>
                <w:u w:val="none"/>
              </w:rPr>
            </w:pPr>
          </w:p>
        </w:tc>
      </w:tr>
      <w:tr w14:paraId="46BE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617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40A">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DB0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7537E">
            <w:pPr>
              <w:jc w:val="center"/>
              <w:rPr>
                <w:rFonts w:hint="eastAsia" w:ascii="宋体" w:hAnsi="宋体" w:eastAsia="宋体" w:cs="宋体"/>
                <w:i w:val="0"/>
                <w:iCs w:val="0"/>
                <w:color w:val="FF0000"/>
                <w:sz w:val="24"/>
                <w:szCs w:val="24"/>
                <w:u w:val="none"/>
              </w:rPr>
            </w:pPr>
          </w:p>
        </w:tc>
      </w:tr>
      <w:tr w14:paraId="21FE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1D0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944">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30天</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FA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510ED">
            <w:pPr>
              <w:ind w:left="0" w:leftChars="0" w:firstLine="0" w:firstLineChars="0"/>
              <w:jc w:val="both"/>
              <w:rPr>
                <w:rFonts w:hint="default" w:ascii="宋体" w:hAnsi="宋体" w:eastAsia="宋体" w:cs="宋体"/>
                <w:i w:val="0"/>
                <w:iCs w:val="0"/>
                <w:color w:val="FF0000"/>
                <w:sz w:val="24"/>
                <w:szCs w:val="24"/>
                <w:u w:val="none"/>
                <w:lang w:val="en-US" w:eastAsia="zh-CN"/>
              </w:rPr>
            </w:pPr>
            <w:bookmarkStart w:id="0" w:name="OLE_LINK2"/>
            <w:r>
              <w:rPr>
                <w:rFonts w:hint="eastAsia" w:ascii="宋体" w:hAnsi="宋体" w:eastAsia="宋体" w:cs="宋体"/>
                <w:i w:val="0"/>
                <w:iCs w:val="0"/>
                <w:color w:val="FF0000"/>
                <w:sz w:val="24"/>
                <w:szCs w:val="24"/>
                <w:u w:val="none"/>
                <w:lang w:val="en-US" w:eastAsia="zh-CN"/>
              </w:rPr>
              <w:t>合同签订后预付合同价的</w:t>
            </w:r>
            <w:r>
              <w:rPr>
                <w:rFonts w:hint="eastAsia" w:ascii="宋体" w:hAnsi="宋体" w:cs="宋体"/>
                <w:i w:val="0"/>
                <w:iCs w:val="0"/>
                <w:color w:val="FF0000"/>
                <w:sz w:val="24"/>
                <w:szCs w:val="24"/>
                <w:u w:val="none"/>
                <w:lang w:val="en-US" w:eastAsia="zh-CN"/>
              </w:rPr>
              <w:t>5</w:t>
            </w:r>
            <w:r>
              <w:rPr>
                <w:rFonts w:hint="eastAsia" w:ascii="宋体" w:hAnsi="宋体" w:eastAsia="宋体" w:cs="宋体"/>
                <w:i w:val="0"/>
                <w:iCs w:val="0"/>
                <w:color w:val="FF0000"/>
                <w:sz w:val="24"/>
                <w:szCs w:val="24"/>
                <w:u w:val="none"/>
                <w:lang w:val="en-US" w:eastAsia="zh-CN"/>
              </w:rPr>
              <w:t>0%，货到</w:t>
            </w:r>
            <w:bookmarkEnd w:id="0"/>
            <w:r>
              <w:rPr>
                <w:rFonts w:hint="eastAsia" w:ascii="宋体" w:hAnsi="宋体" w:cs="宋体"/>
                <w:i w:val="0"/>
                <w:iCs w:val="0"/>
                <w:color w:val="FF0000"/>
                <w:sz w:val="24"/>
                <w:szCs w:val="24"/>
                <w:u w:val="none"/>
                <w:lang w:val="en-US" w:eastAsia="zh-CN"/>
              </w:rPr>
              <w:t>付至合同价的90%，部署完成软件并经采购人验收合格后2个月内支付审定价的剩余部分（不计利息）</w:t>
            </w:r>
          </w:p>
        </w:tc>
      </w:tr>
    </w:tbl>
    <w:p w14:paraId="141743C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633C336C">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1DA27DF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6B4E843D">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8FB685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1B5251DC">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12F1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52ACD51">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70BAB078">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6C26757D">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346125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798ABA2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74EF16B6">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1AFAFE0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9B9E28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350B22F2">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A1A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B8F852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D41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19D6460">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E3173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245CB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FA89AA8">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94AC0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BC2EA4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0A4AEB">
            <w:pPr>
              <w:pStyle w:val="17"/>
              <w:spacing w:line="340" w:lineRule="exact"/>
              <w:ind w:left="0" w:leftChars="0" w:firstLine="0" w:firstLineChars="0"/>
              <w:jc w:val="both"/>
              <w:rPr>
                <w:rFonts w:hint="eastAsia" w:ascii="仿宋" w:hAnsi="仿宋" w:eastAsia="仿宋" w:cs="仿宋"/>
                <w:color w:val="auto"/>
                <w:sz w:val="24"/>
                <w:szCs w:val="24"/>
              </w:rPr>
            </w:pPr>
          </w:p>
        </w:tc>
      </w:tr>
      <w:tr w14:paraId="6394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A98A7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D22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C651F18">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71478E4">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5D7F7D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CD9DEA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6AE84A9">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9E715D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9471A9">
            <w:pPr>
              <w:pStyle w:val="17"/>
              <w:spacing w:line="340" w:lineRule="exact"/>
              <w:ind w:left="0" w:leftChars="0" w:firstLine="0" w:firstLineChars="0"/>
              <w:jc w:val="both"/>
              <w:rPr>
                <w:rFonts w:hint="eastAsia" w:ascii="仿宋" w:hAnsi="仿宋" w:eastAsia="仿宋" w:cs="仿宋"/>
                <w:color w:val="auto"/>
                <w:sz w:val="24"/>
                <w:szCs w:val="24"/>
              </w:rPr>
            </w:pPr>
          </w:p>
        </w:tc>
      </w:tr>
      <w:tr w14:paraId="3E98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FEE5B2">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647DFD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6C7472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A12ED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B842FB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E2CEA8D">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754864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2D103A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34D3042">
            <w:pPr>
              <w:pStyle w:val="17"/>
              <w:spacing w:line="340" w:lineRule="exact"/>
              <w:ind w:left="0" w:leftChars="0" w:firstLine="0" w:firstLineChars="0"/>
              <w:jc w:val="both"/>
              <w:rPr>
                <w:rFonts w:hint="eastAsia" w:ascii="仿宋" w:hAnsi="仿宋" w:eastAsia="仿宋" w:cs="仿宋"/>
                <w:color w:val="auto"/>
                <w:sz w:val="24"/>
                <w:szCs w:val="24"/>
              </w:rPr>
            </w:pPr>
          </w:p>
        </w:tc>
      </w:tr>
      <w:tr w14:paraId="3492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ED329C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3DFA79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75364B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8C6F9C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5B1DE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B40A75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3A11C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F05F7E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93AF423">
            <w:pPr>
              <w:pStyle w:val="17"/>
              <w:spacing w:line="340" w:lineRule="exact"/>
              <w:ind w:left="0" w:leftChars="0" w:firstLine="0" w:firstLineChars="0"/>
              <w:jc w:val="both"/>
              <w:rPr>
                <w:rFonts w:hint="eastAsia" w:ascii="仿宋" w:hAnsi="仿宋" w:eastAsia="仿宋" w:cs="仿宋"/>
                <w:color w:val="auto"/>
                <w:sz w:val="24"/>
                <w:szCs w:val="24"/>
              </w:rPr>
            </w:pPr>
          </w:p>
        </w:tc>
      </w:tr>
      <w:tr w14:paraId="363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03F91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7858F8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31ED60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DC63C7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E18AEA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AA4CB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CC73D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B1D134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3622C02">
            <w:pPr>
              <w:pStyle w:val="17"/>
              <w:spacing w:line="340" w:lineRule="exact"/>
              <w:ind w:left="0" w:leftChars="0" w:firstLine="0" w:firstLineChars="0"/>
              <w:jc w:val="both"/>
              <w:rPr>
                <w:rFonts w:hint="eastAsia" w:ascii="仿宋" w:hAnsi="仿宋" w:eastAsia="仿宋" w:cs="仿宋"/>
                <w:color w:val="auto"/>
                <w:sz w:val="24"/>
                <w:szCs w:val="24"/>
              </w:rPr>
            </w:pPr>
          </w:p>
        </w:tc>
      </w:tr>
      <w:tr w14:paraId="4EB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B9056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C4C03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B3027F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4F53C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78D4AB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AA9DA7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36D9B5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8964BF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39EC2F0">
            <w:pPr>
              <w:pStyle w:val="17"/>
              <w:spacing w:line="340" w:lineRule="exact"/>
              <w:ind w:left="0" w:leftChars="0" w:firstLine="0" w:firstLineChars="0"/>
              <w:jc w:val="both"/>
              <w:rPr>
                <w:rFonts w:hint="eastAsia" w:ascii="仿宋" w:hAnsi="仿宋" w:eastAsia="仿宋" w:cs="仿宋"/>
                <w:color w:val="auto"/>
                <w:sz w:val="24"/>
                <w:szCs w:val="24"/>
              </w:rPr>
            </w:pPr>
          </w:p>
        </w:tc>
      </w:tr>
      <w:tr w14:paraId="01E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F93794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FDD10D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749BAE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9F4816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692BDF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8F74A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67B846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31775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F8F34CD">
            <w:pPr>
              <w:pStyle w:val="17"/>
              <w:spacing w:line="340" w:lineRule="exact"/>
              <w:ind w:left="0" w:leftChars="0" w:firstLine="0" w:firstLineChars="0"/>
              <w:jc w:val="both"/>
              <w:rPr>
                <w:rFonts w:hint="eastAsia" w:ascii="仿宋" w:hAnsi="仿宋" w:eastAsia="仿宋" w:cs="仿宋"/>
                <w:color w:val="auto"/>
                <w:sz w:val="24"/>
                <w:szCs w:val="24"/>
              </w:rPr>
            </w:pPr>
          </w:p>
        </w:tc>
      </w:tr>
      <w:tr w14:paraId="6A0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087B76F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5FDBC6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73F08F1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F5693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1、付款方式：合同签订后预付合同价的50%，货到付至合同价的90%，部署完成软件并经采购人验收合格后2个月内支付审定价的剩余部分（不计利息）。</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259C8C3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1" w:name="OLE_LINK1"/>
      <w:r>
        <w:rPr>
          <w:rFonts w:hint="eastAsia" w:ascii="仿宋" w:hAnsi="仿宋" w:eastAsia="仿宋" w:cs="仿宋"/>
          <w:color w:val="auto"/>
          <w:sz w:val="24"/>
          <w:szCs w:val="24"/>
          <w:highlight w:val="green"/>
          <w:lang w:val="en-US" w:eastAsia="zh-CN"/>
        </w:rPr>
        <w:t>2、付款形式：银行转账。</w:t>
      </w:r>
    </w:p>
    <w:p w14:paraId="1B1E5EE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59E90625">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50382A5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3BBDF60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0CDC5A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72ECF1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3B5F8EFC">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121521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bookmarkEnd w:id="1"/>
    </w:p>
    <w:p w14:paraId="6364A6F6">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1D93002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100A563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1872D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3FF5318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D47DC4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FE945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D0418D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79FF7D4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62A0529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17880AF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45FA7E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D785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73D62A65">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7CE6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1B8A2F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0F5FE6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409BC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B985D2D">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4D23E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6E4CA24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7E29BBE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6340DE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009E5D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C065AF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9E3C4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6124A84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00294FE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5FCCC89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629A659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5BEC1367">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00353B1">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7CC54AD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533BE86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6CCCD42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232C5E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5B3F48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DACD04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6FEFD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0C07D0C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4A2F9AD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79D79D3D">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42DC3BC5">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049297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630D201D">
      <w:pPr>
        <w:ind w:left="0" w:leftChars="0" w:firstLine="0" w:firstLineChars="0"/>
      </w:pPr>
    </w:p>
    <w:p w14:paraId="711ED522"/>
    <w:p w14:paraId="3C1125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E434544"/>
    <w:rsid w:val="1F741D8C"/>
    <w:rsid w:val="1F7A5921"/>
    <w:rsid w:val="1FC0011B"/>
    <w:rsid w:val="1FF000D2"/>
    <w:rsid w:val="23694EFA"/>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04F1FE8"/>
    <w:rsid w:val="31140310"/>
    <w:rsid w:val="31AC5E92"/>
    <w:rsid w:val="345319C9"/>
    <w:rsid w:val="39963E4D"/>
    <w:rsid w:val="3AEF3EC0"/>
    <w:rsid w:val="3AFA4330"/>
    <w:rsid w:val="3B275F4B"/>
    <w:rsid w:val="3B3B23F3"/>
    <w:rsid w:val="3E5157CB"/>
    <w:rsid w:val="40D00EF3"/>
    <w:rsid w:val="41FC07FC"/>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8965BEB"/>
    <w:rsid w:val="59D75C73"/>
    <w:rsid w:val="5BBF6D32"/>
    <w:rsid w:val="5C4A6C71"/>
    <w:rsid w:val="5CA61E20"/>
    <w:rsid w:val="5DF96E76"/>
    <w:rsid w:val="5E0F059C"/>
    <w:rsid w:val="5FE226DD"/>
    <w:rsid w:val="60C33852"/>
    <w:rsid w:val="61852A60"/>
    <w:rsid w:val="62567581"/>
    <w:rsid w:val="64467711"/>
    <w:rsid w:val="64E752C4"/>
    <w:rsid w:val="64FA0614"/>
    <w:rsid w:val="65F729C7"/>
    <w:rsid w:val="65F96058"/>
    <w:rsid w:val="66934D57"/>
    <w:rsid w:val="67395DCC"/>
    <w:rsid w:val="677551D7"/>
    <w:rsid w:val="69FD1FFD"/>
    <w:rsid w:val="6A5A00DF"/>
    <w:rsid w:val="6BB31049"/>
    <w:rsid w:val="6BF15785"/>
    <w:rsid w:val="6CF430F2"/>
    <w:rsid w:val="6F321DFD"/>
    <w:rsid w:val="6F575DD1"/>
    <w:rsid w:val="70155795"/>
    <w:rsid w:val="70314EAA"/>
    <w:rsid w:val="706B3AE0"/>
    <w:rsid w:val="71345178"/>
    <w:rsid w:val="71E07B02"/>
    <w:rsid w:val="71F423E0"/>
    <w:rsid w:val="73CE218C"/>
    <w:rsid w:val="73F71A18"/>
    <w:rsid w:val="79591705"/>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4777</Words>
  <Characters>4968</Characters>
  <Lines>0</Lines>
  <Paragraphs>0</Paragraphs>
  <TotalTime>15</TotalTime>
  <ScaleCrop>false</ScaleCrop>
  <LinksUpToDate>false</LinksUpToDate>
  <CharactersWithSpaces>5645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2025-04-18T09:23:25Z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3D3F895B64AE434FB3F02D45E7C4CDD5_13</vt:lpwstr>
  </property>
  <property fmtid="{D5CDD505-2E9C-101B-9397-08002B2CF9AE}" pid="4" name="KSOTemplateDocerSaveRecord">
    <vt:lpwstr>eyJoZGlkIjoiYzlmMzVkOGQwNzkyMmE2YWFhOTNmNjMyMGU1YzhhM2UifQ==</vt:lpwstr>
  </property>
</Properties>
</file>