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辅材采购询价文件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840FA2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46AFA54E">
      <w:pPr>
        <w:pStyle w:val="14"/>
        <w:rPr>
          <w:rFonts w:hint="eastAsia"/>
        </w:rPr>
        <w:sectPr>
          <w:pgSz w:w="11906" w:h="16838"/>
          <w:pgMar w:top="1440" w:right="1800" w:bottom="1440" w:left="1800" w:header="851" w:footer="992" w:gutter="0"/>
          <w:cols w:space="425" w:num="1"/>
          <w:docGrid w:type="lines" w:linePitch="312" w:charSpace="0"/>
        </w:sectPr>
      </w:pPr>
    </w:p>
    <w:p w14:paraId="7FD308A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38"/>
        <w:gridCol w:w="1435"/>
        <w:gridCol w:w="1291"/>
        <w:gridCol w:w="214"/>
        <w:gridCol w:w="1866"/>
        <w:gridCol w:w="1420"/>
        <w:gridCol w:w="1392"/>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8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8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8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3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91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普通机柜</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图腾，42U，600mm*600mm*2000mm，无玻璃，带锁</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1D4F">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DA8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4C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1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壁挂机柜</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11B0">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图腾，12u，无玻璃，带锁</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8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A9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79B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C48">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F93">
            <w:pPr>
              <w:ind w:left="0" w:leftChars="0" w:firstLine="0" w:firstLineChars="0"/>
              <w:jc w:val="left"/>
              <w:rPr>
                <w:rFonts w:hint="eastAsia" w:ascii="宋体" w:hAnsi="宋体" w:eastAsia="宋体" w:cs="宋体"/>
                <w:i w:val="0"/>
                <w:iCs w:val="0"/>
                <w:color w:val="000000"/>
                <w:sz w:val="22"/>
                <w:szCs w:val="22"/>
                <w:u w:val="none"/>
                <w:lang w:eastAsia="zh-CN"/>
              </w:rPr>
            </w:pPr>
          </w:p>
        </w:tc>
      </w:tr>
      <w:tr w14:paraId="0C3F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FFE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66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有源音箱</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1A091">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国产优质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D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179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BA8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61D6">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6289">
            <w:pPr>
              <w:ind w:left="0" w:leftChars="0" w:firstLine="0" w:firstLineChars="0"/>
              <w:jc w:val="left"/>
              <w:rPr>
                <w:rFonts w:hint="eastAsia" w:ascii="宋体" w:hAnsi="宋体" w:eastAsia="宋体" w:cs="宋体"/>
                <w:i w:val="0"/>
                <w:iCs w:val="0"/>
                <w:color w:val="000000"/>
                <w:sz w:val="22"/>
                <w:szCs w:val="22"/>
                <w:u w:val="none"/>
                <w:lang w:eastAsia="zh-CN"/>
              </w:rPr>
            </w:pPr>
          </w:p>
        </w:tc>
      </w:tr>
      <w:tr w14:paraId="0FCC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53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11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973AD">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六类屏蔽网线</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84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6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BC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D79E">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B0A7">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99A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5BB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96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8926D">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RVV4*1.0，国标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D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9B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DB5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AC9C">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397">
            <w:pPr>
              <w:ind w:left="0" w:leftChars="0" w:firstLine="0" w:firstLineChars="0"/>
              <w:jc w:val="left"/>
              <w:rPr>
                <w:rFonts w:hint="eastAsia" w:ascii="宋体" w:hAnsi="宋体" w:eastAsia="宋体" w:cs="宋体"/>
                <w:i w:val="0"/>
                <w:iCs w:val="0"/>
                <w:color w:val="000000"/>
                <w:sz w:val="22"/>
                <w:szCs w:val="22"/>
                <w:u w:val="none"/>
                <w:lang w:eastAsia="zh-CN"/>
              </w:rPr>
            </w:pPr>
          </w:p>
        </w:tc>
      </w:tr>
      <w:tr w14:paraId="4CC2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575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4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98C3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RVV3*4.0，国标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A5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6AB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1E8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CC4A">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C603">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1B8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E5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E3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65BA8">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RVV2*2.0，国标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5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D9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A3F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2B05">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8923">
            <w:pPr>
              <w:ind w:left="0" w:leftChars="0" w:firstLine="0" w:firstLineChars="0"/>
              <w:jc w:val="left"/>
              <w:rPr>
                <w:rFonts w:hint="eastAsia" w:ascii="宋体" w:hAnsi="宋体" w:eastAsia="宋体" w:cs="宋体"/>
                <w:i w:val="0"/>
                <w:iCs w:val="0"/>
                <w:color w:val="000000"/>
                <w:sz w:val="22"/>
                <w:szCs w:val="22"/>
                <w:u w:val="none"/>
                <w:lang w:eastAsia="zh-CN"/>
              </w:rPr>
            </w:pPr>
          </w:p>
        </w:tc>
      </w:tr>
      <w:tr w14:paraId="46A6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B4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5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DEF58">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RVV3*6.0，国标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79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1F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438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D6DD">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9754">
            <w:pPr>
              <w:ind w:left="0" w:leftChars="0" w:firstLine="0" w:firstLineChars="0"/>
              <w:jc w:val="left"/>
              <w:rPr>
                <w:rFonts w:hint="eastAsia" w:ascii="宋体" w:hAnsi="宋体" w:eastAsia="宋体" w:cs="宋体"/>
                <w:i w:val="0"/>
                <w:iCs w:val="0"/>
                <w:color w:val="000000"/>
                <w:sz w:val="22"/>
                <w:szCs w:val="22"/>
                <w:u w:val="none"/>
                <w:lang w:eastAsia="zh-CN"/>
              </w:rPr>
            </w:pPr>
          </w:p>
        </w:tc>
      </w:tr>
      <w:tr w14:paraId="4268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E9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4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KBG管</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8C7C3">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0D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291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C94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A8C3">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EA40">
            <w:pPr>
              <w:ind w:left="0" w:leftChars="0" w:firstLine="0" w:firstLineChars="0"/>
              <w:jc w:val="left"/>
              <w:rPr>
                <w:rFonts w:hint="eastAsia" w:ascii="宋体" w:hAnsi="宋体" w:eastAsia="宋体" w:cs="宋体"/>
                <w:i w:val="0"/>
                <w:iCs w:val="0"/>
                <w:color w:val="000000"/>
                <w:sz w:val="22"/>
                <w:szCs w:val="22"/>
                <w:u w:val="none"/>
                <w:lang w:eastAsia="zh-CN"/>
              </w:rPr>
            </w:pPr>
          </w:p>
        </w:tc>
      </w:tr>
      <w:tr w14:paraId="39A1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1C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BD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PE管</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E5E5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φ32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DF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D80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85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CD00">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DB58">
            <w:pPr>
              <w:ind w:left="0" w:leftChars="0" w:firstLine="0" w:firstLineChars="0"/>
              <w:jc w:val="left"/>
              <w:rPr>
                <w:rFonts w:hint="eastAsia" w:ascii="宋体" w:hAnsi="宋体" w:eastAsia="宋体" w:cs="宋体"/>
                <w:i w:val="0"/>
                <w:iCs w:val="0"/>
                <w:color w:val="000000"/>
                <w:sz w:val="22"/>
                <w:szCs w:val="22"/>
                <w:u w:val="none"/>
                <w:lang w:eastAsia="zh-CN"/>
              </w:rPr>
            </w:pPr>
          </w:p>
        </w:tc>
      </w:tr>
      <w:tr w14:paraId="5A4B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559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FB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壁挂配电箱</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E9A80">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两个63A开关，八个回路</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6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D71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D7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00D3">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CABD">
            <w:pPr>
              <w:ind w:left="0" w:leftChars="0" w:firstLine="0" w:firstLineChars="0"/>
              <w:jc w:val="left"/>
              <w:rPr>
                <w:rFonts w:hint="eastAsia" w:ascii="宋体" w:hAnsi="宋体" w:eastAsia="宋体" w:cs="宋体"/>
                <w:i w:val="0"/>
                <w:iCs w:val="0"/>
                <w:color w:val="000000"/>
                <w:sz w:val="22"/>
                <w:szCs w:val="22"/>
                <w:u w:val="none"/>
                <w:lang w:eastAsia="zh-CN"/>
              </w:rPr>
            </w:pPr>
          </w:p>
        </w:tc>
      </w:tr>
      <w:tr w14:paraId="41FB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D02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D3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气体灭火器</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2D3A">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4kg，七氟丙烷气体，含架子</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B4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1FE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6A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9E05">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6401">
            <w:pPr>
              <w:ind w:left="0" w:leftChars="0" w:firstLine="0" w:firstLineChars="0"/>
              <w:jc w:val="left"/>
              <w:rPr>
                <w:rFonts w:hint="eastAsia" w:ascii="宋体" w:hAnsi="宋体" w:eastAsia="宋体" w:cs="宋体"/>
                <w:i w:val="0"/>
                <w:iCs w:val="0"/>
                <w:color w:val="000000"/>
                <w:sz w:val="22"/>
                <w:szCs w:val="22"/>
                <w:u w:val="none"/>
                <w:lang w:eastAsia="zh-CN"/>
              </w:rPr>
            </w:pPr>
          </w:p>
        </w:tc>
      </w:tr>
      <w:tr w14:paraId="6B19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012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80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89039">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华三LS-1850V2-28P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背板带宽≥336Gbps；包转发率≥18Mpps；≥8个10/100/1000Base-T以太网端口，≥4个千兆光口</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3E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EB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44F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E9E4">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5F66">
            <w:pPr>
              <w:ind w:left="0" w:leftChars="0" w:firstLine="0" w:firstLineChars="0"/>
              <w:jc w:val="left"/>
              <w:rPr>
                <w:rFonts w:hint="eastAsia" w:ascii="宋体" w:hAnsi="宋体" w:eastAsia="宋体" w:cs="宋体"/>
                <w:i w:val="0"/>
                <w:iCs w:val="0"/>
                <w:color w:val="000000"/>
                <w:sz w:val="22"/>
                <w:szCs w:val="22"/>
                <w:u w:val="none"/>
                <w:lang w:eastAsia="zh-CN"/>
              </w:rPr>
            </w:pPr>
          </w:p>
        </w:tc>
      </w:tr>
      <w:tr w14:paraId="2320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F99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5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4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6AEE8">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华三ER6300G3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带机量：≥700；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带宽：≥8Gbps；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NAT会话数：≥24万；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IPSec VPN隧道数：≥100；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WAN以太口：≥2*10GE、2*GE Combo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LAN以太口：≥8*GE；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支持DHCP Server、NTP Client、DNS（花生壳和3322.org）、UPnP、IPTV；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支持IPSec VPN；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支持ARP扫描、ARP检测、ARP防护等功能；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支持MAC地址过滤功能，支持MAC地址黑白名单</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24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bookmarkStart w:id="0" w:name="_GoBack"/>
            <w:bookmarkEnd w:id="0"/>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5C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0EA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8B6F">
            <w:pPr>
              <w:jc w:val="left"/>
              <w:rPr>
                <w:rFonts w:hint="eastAsia" w:ascii="宋体" w:hAnsi="宋体" w:eastAsia="宋体" w:cs="宋体"/>
                <w:i w:val="0"/>
                <w:iCs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BBFE">
            <w:pPr>
              <w:ind w:left="0" w:leftChars="0" w:firstLine="0" w:firstLineChars="0"/>
              <w:jc w:val="left"/>
              <w:rPr>
                <w:rFonts w:hint="eastAsia" w:ascii="宋体" w:hAnsi="宋体" w:eastAsia="宋体" w:cs="宋体"/>
                <w:i w:val="0"/>
                <w:iCs w:val="0"/>
                <w:color w:val="000000"/>
                <w:sz w:val="22"/>
                <w:szCs w:val="22"/>
                <w:u w:val="none"/>
                <w:lang w:eastAsia="zh-CN"/>
              </w:rPr>
            </w:pP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2"/>
                <w:szCs w:val="22"/>
                <w:u w:val="none"/>
                <w:lang w:val="en-US" w:eastAsia="zh-CN"/>
              </w:rPr>
              <w:t>15</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default" w:hAnsi="宋体"/>
                <w:lang w:val="en-US" w:eastAsia="zh-CN" w:bidi="ar"/>
              </w:rPr>
            </w:pPr>
            <w:r>
              <w:rPr>
                <w:rStyle w:val="33"/>
                <w:rFonts w:hint="eastAsia" w:hAnsi="宋体"/>
                <w:lang w:val="en-US" w:eastAsia="zh-CN" w:bidi="ar"/>
              </w:rPr>
              <w:t>线缆质保15年，其他设备质保3年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货到验收合格后一次性付清全款。</w:t>
            </w:r>
          </w:p>
        </w:tc>
      </w:tr>
    </w:tbl>
    <w:p w14:paraId="6B7F3CF6">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0F9B745B"/>
    <w:rsid w:val="100159F1"/>
    <w:rsid w:val="10941E2C"/>
    <w:rsid w:val="138B678C"/>
    <w:rsid w:val="15B405D8"/>
    <w:rsid w:val="173B2189"/>
    <w:rsid w:val="18B65219"/>
    <w:rsid w:val="193251CA"/>
    <w:rsid w:val="1AE10049"/>
    <w:rsid w:val="1B811C42"/>
    <w:rsid w:val="1BC13885"/>
    <w:rsid w:val="1CB642A6"/>
    <w:rsid w:val="1CBE542C"/>
    <w:rsid w:val="1E434544"/>
    <w:rsid w:val="1F741D8C"/>
    <w:rsid w:val="1FC0011B"/>
    <w:rsid w:val="245503E6"/>
    <w:rsid w:val="25DE44B5"/>
    <w:rsid w:val="264801BD"/>
    <w:rsid w:val="26A67AF4"/>
    <w:rsid w:val="28C736C7"/>
    <w:rsid w:val="292E08DE"/>
    <w:rsid w:val="2B9E5DD1"/>
    <w:rsid w:val="2C761843"/>
    <w:rsid w:val="2DA8328B"/>
    <w:rsid w:val="2E1B2848"/>
    <w:rsid w:val="300D6BCC"/>
    <w:rsid w:val="31140310"/>
    <w:rsid w:val="345319C9"/>
    <w:rsid w:val="39963E4D"/>
    <w:rsid w:val="420E65EA"/>
    <w:rsid w:val="44EF43A5"/>
    <w:rsid w:val="46AE2EAA"/>
    <w:rsid w:val="48832749"/>
    <w:rsid w:val="499027B4"/>
    <w:rsid w:val="49AB2DE5"/>
    <w:rsid w:val="4A0E06F8"/>
    <w:rsid w:val="4B1A7BD1"/>
    <w:rsid w:val="4BB038DA"/>
    <w:rsid w:val="4BFB1EB1"/>
    <w:rsid w:val="4C73767A"/>
    <w:rsid w:val="4E802F1D"/>
    <w:rsid w:val="4FCA5EFA"/>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6352AB"/>
    <w:rsid w:val="6CF430F2"/>
    <w:rsid w:val="6F321DFD"/>
    <w:rsid w:val="6F575DD1"/>
    <w:rsid w:val="6F6A430F"/>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4163</Words>
  <Characters>4388</Characters>
  <Lines>0</Lines>
  <Paragraphs>0</Paragraphs>
  <TotalTime>4</TotalTime>
  <ScaleCrop>false</ScaleCrop>
  <LinksUpToDate>false</LinksUpToDate>
  <CharactersWithSpaces>5059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2024-08-16T09:05:37Z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8E73FF5052FC4D7BBD9346D0010D16E7_13</vt:lpwstr>
  </property>
</Properties>
</file>