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辅材采购询价文件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E04E39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bookmarkStart w:id="0" w:name="_GoBack"/>
      <w:bookmarkEnd w:id="0"/>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25D67BCB">
      <w:pPr>
        <w:pStyle w:val="14"/>
        <w:rPr>
          <w:rFonts w:hint="eastAsia"/>
        </w:rPr>
        <w:sectPr>
          <w:pgSz w:w="11906" w:h="16838"/>
          <w:pgMar w:top="1440" w:right="1800" w:bottom="1440" w:left="1800" w:header="851" w:footer="992" w:gutter="0"/>
          <w:cols w:space="425" w:num="1"/>
          <w:docGrid w:type="lines" w:linePitch="312" w:charSpace="0"/>
        </w:sectPr>
      </w:pPr>
    </w:p>
    <w:p w14:paraId="54D8F74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442"/>
        <w:gridCol w:w="1925"/>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9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EB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路由器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带机量：≥700；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带宽：≥8Gbps；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NAT会话数：≥24万；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IPSec VPN隧道数：≥100；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WAN以太口：≥2*10GE、2*GE Combo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LAN以太口：≥8*GE；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支持DHCP Server、NTP Client、DNS（花生壳和3322.org）、UPnP、IPTV；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支持IPSec VPN；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支持ARP扫描、ARP检测、ARP防护等功能；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支持MAC地址过滤功能，支持MAC地址黑白名单</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41D4F">
            <w:pPr>
              <w:ind w:left="0" w:leftChars="0" w:firstLine="0" w:firstLineChars="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华为、华三、锐捷或比低于同档次品牌</w:t>
            </w:r>
          </w:p>
        </w:tc>
      </w:tr>
      <w:tr w14:paraId="3F8F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6F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AE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4DA4">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背板带宽≥336Gbps；包转发率≥18Mpps；≥8个10/100/1000Base-T以太网端口，≥4个千兆光口，可管理</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1E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71BD">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4FB6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CFCD5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D919A">
            <w:pPr>
              <w:ind w:left="0" w:leftChars="0" w:firstLine="0" w:firstLineChars="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华为、华三、锐捷或比低于同档次品牌</w:t>
            </w:r>
          </w:p>
        </w:tc>
      </w:tr>
      <w:tr w14:paraId="7931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5D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E7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普通机柜</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2B88">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42U，600mm*600mm*2000mm，无玻璃，带锁</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8CA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1059">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9CB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F796A3">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7B4A7">
            <w:pPr>
              <w:ind w:firstLine="440" w:firstLineChars="200"/>
              <w:jc w:val="left"/>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图腾</w:t>
            </w:r>
          </w:p>
        </w:tc>
      </w:tr>
      <w:tr w14:paraId="6455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E8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7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512E">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RVV3*4.0，国标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DF8B">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E734">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41CA">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BE4F63">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92737">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6527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A7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9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0EB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RVV3*6.0，国标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86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072">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1F13">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084F17">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ACB0">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2CB4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1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C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KBG管</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A070D">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φ25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F8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B69">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059B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06198F">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244A">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2F19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80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E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KBG管</w:t>
            </w:r>
            <w:r>
              <w:rPr>
                <w:rFonts w:hint="eastAsia" w:ascii="宋体" w:hAnsi="宋体" w:cs="宋体"/>
                <w:i w:val="0"/>
                <w:iCs w:val="0"/>
                <w:color w:val="000000"/>
                <w:kern w:val="0"/>
                <w:sz w:val="24"/>
                <w:szCs w:val="24"/>
                <w:u w:val="none"/>
                <w:lang w:val="en-US" w:eastAsia="zh-CN" w:bidi="ar"/>
              </w:rPr>
              <w:t>直接</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0DC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φ25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71D">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89">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DF71">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2B7842">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400B4">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2DCD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A2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F1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壁挂配电箱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9622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两个63A开关，八个回路</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6DF">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443">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5CE7">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9598A4">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88EC">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6A24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F0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5C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气体灭火器</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730E">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4kg，七氟丙烷气体，含架子</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BAC7">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219">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A986">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664F680">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6283C">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0769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FC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AE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等电位接地箱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DCF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内含铜排及连接端子</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F38">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CABB">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995DF">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09BC70">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33ED0">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5923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28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9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9842">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16A,8口PDU</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4BE9">
            <w:pPr>
              <w:keepNext w:val="0"/>
              <w:keepLines w:val="0"/>
              <w:widowControl/>
              <w:suppressLineNumbers w:val="0"/>
              <w:spacing w:line="240" w:lineRule="auto"/>
              <w:ind w:left="0" w:leftChars="0" w:firstLine="0" w:firstLineChars="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8A0">
            <w:pPr>
              <w:keepNext w:val="0"/>
              <w:keepLines w:val="0"/>
              <w:widowControl/>
              <w:suppressLineNumbers w:val="0"/>
              <w:spacing w:line="240" w:lineRule="auto"/>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728D">
            <w:pPr>
              <w:jc w:val="left"/>
              <w:rPr>
                <w:rFonts w:hint="eastAsia" w:ascii="宋体" w:hAnsi="宋体" w:eastAsia="宋体" w:cs="宋体"/>
                <w:i w:val="0"/>
                <w:iCs w:val="0"/>
                <w:color w:val="000000"/>
                <w:sz w:val="22"/>
                <w:szCs w:val="22"/>
                <w:u w:val="none"/>
              </w:rPr>
            </w:pPr>
          </w:p>
        </w:tc>
        <w:tc>
          <w:tcPr>
            <w:tcW w:w="14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3068BB">
            <w:pPr>
              <w:jc w:val="left"/>
              <w:rPr>
                <w:rFonts w:hint="eastAsia" w:ascii="宋体" w:hAnsi="宋体" w:eastAsia="宋体" w:cs="宋体"/>
                <w:i w:val="0"/>
                <w:iCs w:val="0"/>
                <w:color w:val="000000"/>
                <w:sz w:val="22"/>
                <w:szCs w:val="22"/>
                <w:u w:val="none"/>
              </w:rPr>
            </w:pPr>
          </w:p>
        </w:tc>
        <w:tc>
          <w:tcPr>
            <w:tcW w:w="1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763B">
            <w:pPr>
              <w:ind w:firstLine="440" w:firstLineChars="200"/>
              <w:jc w:val="left"/>
              <w:rPr>
                <w:rFonts w:hint="eastAsia" w:ascii="宋体" w:hAnsi="宋体" w:eastAsia="宋体" w:cs="宋体"/>
                <w:i w:val="0"/>
                <w:iCs w:val="0"/>
                <w:color w:val="000000"/>
                <w:kern w:val="2"/>
                <w:sz w:val="22"/>
                <w:szCs w:val="22"/>
                <w:u w:val="none"/>
                <w:lang w:val="en-US" w:eastAsia="zh-CN" w:bidi="ar-SA"/>
              </w:rPr>
            </w:pP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12</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10天</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货到验收合格后10日内一次性付清全款。</w:t>
            </w:r>
          </w:p>
        </w:tc>
      </w:tr>
    </w:tbl>
    <w:p w14:paraId="4470F85E">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货到验收合格后10日内一次性付清全款。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0FFE0312"/>
    <w:rsid w:val="100159F1"/>
    <w:rsid w:val="10941E2C"/>
    <w:rsid w:val="137F50A9"/>
    <w:rsid w:val="138B678C"/>
    <w:rsid w:val="15B405D8"/>
    <w:rsid w:val="173B2189"/>
    <w:rsid w:val="18B65219"/>
    <w:rsid w:val="193251CA"/>
    <w:rsid w:val="1AE10049"/>
    <w:rsid w:val="1B196182"/>
    <w:rsid w:val="1B811C42"/>
    <w:rsid w:val="1BC13885"/>
    <w:rsid w:val="1CB642A6"/>
    <w:rsid w:val="1CBE542C"/>
    <w:rsid w:val="1E434544"/>
    <w:rsid w:val="1F741D8C"/>
    <w:rsid w:val="1FC0011B"/>
    <w:rsid w:val="245503E6"/>
    <w:rsid w:val="249779A2"/>
    <w:rsid w:val="25543229"/>
    <w:rsid w:val="25DE44B5"/>
    <w:rsid w:val="264801BD"/>
    <w:rsid w:val="26A67AF4"/>
    <w:rsid w:val="28C736C7"/>
    <w:rsid w:val="292E08DE"/>
    <w:rsid w:val="2B9E5DD1"/>
    <w:rsid w:val="2C761843"/>
    <w:rsid w:val="2E1B2848"/>
    <w:rsid w:val="300D6BCC"/>
    <w:rsid w:val="31140310"/>
    <w:rsid w:val="345319C9"/>
    <w:rsid w:val="39963E4D"/>
    <w:rsid w:val="420E65EA"/>
    <w:rsid w:val="42D27F5D"/>
    <w:rsid w:val="44EF43A5"/>
    <w:rsid w:val="45E36F14"/>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4027</Words>
  <Characters>4255</Characters>
  <Lines>0</Lines>
  <Paragraphs>0</Paragraphs>
  <TotalTime>0</TotalTime>
  <ScaleCrop>false</ScaleCrop>
  <LinksUpToDate>false</LinksUpToDate>
  <CharactersWithSpaces>4921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2024-08-09T01:58:27Z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