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监控设备询价文件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98"/>
        <w:gridCol w:w="4917"/>
        <w:gridCol w:w="1327"/>
        <w:gridCol w:w="743"/>
        <w:gridCol w:w="1008"/>
        <w:gridCol w:w="1262"/>
        <w:gridCol w:w="1607"/>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6244"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5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6244"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6244"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6244"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244"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62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Style w:val="24"/>
                <w:rFonts w:hint="eastAsia"/>
                <w:sz w:val="21"/>
                <w:szCs w:val="21"/>
                <w:lang w:val="en-US" w:eastAsia="zh-CN" w:bidi="ar"/>
              </w:rPr>
              <w:t>900万生态环保卡口</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大华DH-CP902-AU6F-DF55</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传感器类型：2个1.1英寸GS-CMOS；</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电子快门：1/50s~1/100000s（可手动或自动调节）；</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图像分辨率：4096×2336（不包含OSD黑边）；</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视频分辨率：4096×2336/4096×2160/3392×2008/UXGA（1600×1200）/1080P（1920×1080）/720P（1280×720）/D1（704× 576）/CIF（352×288）；</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视频帧率：最大支持50fps，主码流默认（4096×2336@25fps），辅码流默认（1600×1200@25fps）；</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视频码率：H.264：32kbps~32767kbpsH.265：32kbps~32767kbpsMJPEG：512kbps~32767kbps；</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视频压缩标准：H.265;H.264;MJPEG；</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图片编码格式：JPEG；</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图片合成：支持1、2、3、4张图片合成；</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国密功能：支持国密GB 35114-A级功能；</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光圈控制接口：1个，P-IRIS自动光圈；</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外置灯接口：7个，光耦开关量信号输出（可配置为闪光灯、多合一灯、LED频闪灯同步输出接口，频率可设置）；</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网络接口：2个独立MAC、物理隔离的RJ-45以太网口，支持10/100/1000M网络数据传输；</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USB接口：2个，USB 3.0接口；</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GPS接口：1个，GPS/北斗接口；</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存储接口：1个，最大支持256GB TF卡本地存储；</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RS-485接口：2个，可用于连接车检器、补光灯；</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RS-232接口：4个，其中RTG用于串口调试；R1T1G、R2T2G、R3T3G连接雷达；</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I/O接口：4个，用于I/O触发抓拍信号输入，与报警输入复用；</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报警输入：4路，与I/O接口复用；</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报警输出：2路开关量信号，AO1为继电器，AO2为光耦；</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音频输入：1路（3.5mmJACK头）；</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音频输出：1路（3.5mmJACK头）；</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电源返送：DC12 V±10%电压输出，≤1.5A电流输出；</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供电方式：AC100V~AC240V（50Hz）；</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功耗：≤15W；</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工作温度：-40℃～+65℃；</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工作湿度：10%~90%；</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产品尺寸：540.0 mm×204.2 mm×143.2mm（长×宽×高）；</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毛重：8.5kg；</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电源：标配；</w:t>
            </w:r>
          </w:p>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镜头：标配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default"/>
                <w:i w:val="0"/>
                <w:iCs w:val="0"/>
                <w:color w:val="000000"/>
                <w:sz w:val="21"/>
                <w:szCs w:val="21"/>
                <w:lang w:val="en-US" w:eastAsia="zh-CN" w:bidi="ar"/>
              </w:rPr>
            </w:pPr>
            <w:r>
              <w:rPr>
                <w:rStyle w:val="24"/>
                <w:rFonts w:hint="eastAsia"/>
                <w:i w:val="0"/>
                <w:iCs w:val="0"/>
                <w:color w:val="000000"/>
                <w:sz w:val="21"/>
                <w:szCs w:val="21"/>
                <w:lang w:val="en-US" w:eastAsia="zh-CN" w:bidi="ar"/>
              </w:rPr>
              <w:t>400万人脸抓拍摄像机</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大华DH-IPC-HFW8449K-ZRL-LI</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传感器类型：1/1.8英寸CMOS；</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像素：400万；</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最大分辨率：2688×1520；</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最低照度：0.001lux（彩色模式）；0.0001lux（黑白模式）；0lux（补光灯开启）；</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最大补光距离：16m（人脸检测距离）65m（暖光模式视频监控距离）120m（混光模式视频监控距离）；</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补光灯：4颗（混光灯）；</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镜头类型：电动变焦；</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镜头焦距：8mm～32mm；</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镜头光圈：F1.6；</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视场角：水平：43°～15°；垂直：23°～8°；对角：50°～17°；</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通用行为分析：物品遗留；物品搬移；</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热度图：支持；</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周界防范：绊线入侵；区域入侵；快速移动（三项均支持人车分类及精准检测）；徘徊检测；人员聚集；停车检测；</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脸检测：支持人脸检测；支持跟踪；支持优选；支持抓拍；支持上报最优的人脸抓图；支持人脸增强，支持人脸曝光；支持人脸属性提取，支持6种属性8种表情：性别，年龄，眼镜，表情（高兴、惊讶、正常、愤怒、悲伤、厌恶、困惑、害怕），口罩，胡子；支持人脸抠图区域可设：人脸，单寸照；支持实时抓拍；支持优选抓拍；支持质量优先三种抓拍策略；支持人脸角度过滤功能；支持优选时长可设；</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数统计：支持对进入、离开人员进行数量统计，支持4条规则配置，并可显示及输出日、月、年统计报表；支持区域内人员进行数量统计，支持4条规则配置；支持排队管理，支持4条规则配置，对限定的排队人数和排队时间进行统计并联动报警；</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频结构化：支持机动车、非机动车、人脸、人体检测;支持跟踪;支持优选;支持抓拍;支持上报最优的人脸抓图机动车属性（车牌,车辆类型,车身颜色,车牌颜色,车标,车系/年款,其他属性:遮阳板,安全带,抽烟,打电话,车内饰品,年检标志）非机动车属性（类型,车身颜色,骑车人数,上衣类型,上衣颜色）人体属性（上衣类型,下衣类型,上衣颜色,下衣颜色,背包,帽子,性别）人脸属性（性别,年龄,表情,戴眼镜,戴口罩,胡子）备注：黑白模式下不支持视频结构化；</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智能编码：H.264：支持H.265：支持；</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宽动态：120dB；</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走廊模式：90°：2688×1520；2560x1440；2304×1296；1080P（1920×1080）；1.3M（1280×960）；720P（1280×720）；D1（704× 576/704×480）；VGA（640×480）；CIF（352×288/352×240）270°：2688×1520；2560x1440；2304×1296；1080P（1920×1080）；1.3M（1280×960）；720P（1280×720）；D1（704× 576/704×480）；VGA（640×480）；CIF（352×288/352×240）；</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音频接口：支持；</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事件：无SD卡；SD卡空间不足；SD卡出错；网络断开；IP冲突；非法访问；动态检测；视频遮挡；虚焦侦测；场景变更；区域入侵；绊线入侵；物品遗留；物品搬移；快速移动；停车检测；徘徊检测；人员聚集；音频异常侦测；人数统计；人脸侦测；电压检测；视频结构化；</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接入标准：ONVIF（Profile S &amp; Profile G）；GB/T28181；CGI；乐橙云；</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预览最大用户数：20个（总带宽：88Ｍ）；</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最大Micro SD卡：256GB；</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RS-485接口：1个（波特率范围：1200bps～115200bps）；</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音频输入：1路（RCA头）；</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音频输出：1路（RCA头）；</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报警输入：3路（湿节点，支持直流3～5V电位，5mA电流）；</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报警输出：2路（湿节点，支持直流最大12V电位，0.3A电流）；</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模拟输出接口：1路（CVBS输出 BNC接口）；</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供电方式：DC12V/PoE；</w:t>
            </w:r>
          </w:p>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防护等级：IP67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93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货到验收合格后7日内支付</w:t>
            </w:r>
            <w:r>
              <w:rPr>
                <w:rFonts w:hint="eastAsia" w:ascii="黑体" w:hAnsi="宋体" w:eastAsia="黑体" w:cs="黑体"/>
                <w:i w:val="0"/>
                <w:iCs w:val="0"/>
                <w:color w:val="FF0000"/>
                <w:sz w:val="24"/>
                <w:szCs w:val="24"/>
                <w:u w:val="none"/>
                <w:lang w:val="en-US" w:eastAsia="zh-CN"/>
              </w:rPr>
              <w:t>全部货款</w:t>
            </w:r>
            <w:r>
              <w:rPr>
                <w:rFonts w:hint="eastAsia" w:ascii="黑体" w:hAnsi="宋体" w:eastAsia="黑体" w:cs="黑体"/>
                <w:i w:val="0"/>
                <w:iCs w:val="0"/>
                <w:color w:val="FF0000"/>
                <w:sz w:val="24"/>
                <w:szCs w:val="24"/>
                <w:u w:val="none"/>
              </w:rPr>
              <w:t>。</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1、货到验收合格后7日内支付全部货款。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80057C5"/>
    <w:rsid w:val="193251CA"/>
    <w:rsid w:val="1B811C42"/>
    <w:rsid w:val="1CBE542C"/>
    <w:rsid w:val="1D655C0F"/>
    <w:rsid w:val="1E434544"/>
    <w:rsid w:val="1F741D8C"/>
    <w:rsid w:val="1FC0011B"/>
    <w:rsid w:val="228E625A"/>
    <w:rsid w:val="245503E6"/>
    <w:rsid w:val="25DE44B5"/>
    <w:rsid w:val="264801BD"/>
    <w:rsid w:val="26A67AF4"/>
    <w:rsid w:val="292E08DE"/>
    <w:rsid w:val="2B9E5DD1"/>
    <w:rsid w:val="2D134F29"/>
    <w:rsid w:val="2E1B2848"/>
    <w:rsid w:val="300D6BCC"/>
    <w:rsid w:val="31140310"/>
    <w:rsid w:val="345319C9"/>
    <w:rsid w:val="39963E4D"/>
    <w:rsid w:val="3F0874F8"/>
    <w:rsid w:val="420E65EA"/>
    <w:rsid w:val="46AE2EAA"/>
    <w:rsid w:val="48832749"/>
    <w:rsid w:val="4A0E06F8"/>
    <w:rsid w:val="4BB038DA"/>
    <w:rsid w:val="4E802F1D"/>
    <w:rsid w:val="50417986"/>
    <w:rsid w:val="5316709E"/>
    <w:rsid w:val="5609210F"/>
    <w:rsid w:val="57DB3B40"/>
    <w:rsid w:val="5BBF6D32"/>
    <w:rsid w:val="5CA61E20"/>
    <w:rsid w:val="615A39BA"/>
    <w:rsid w:val="61852A60"/>
    <w:rsid w:val="62567581"/>
    <w:rsid w:val="69FD1FFD"/>
    <w:rsid w:val="6AA4652B"/>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qFormat/>
    <w:uiPriority w:val="0"/>
    <w:rPr>
      <w:rFonts w:hint="eastAsia" w:ascii="仿宋" w:hAnsi="仿宋" w:eastAsia="仿宋" w:cs="仿宋"/>
      <w:color w:val="000000"/>
      <w:sz w:val="24"/>
      <w:szCs w:val="24"/>
      <w:u w:val="none"/>
    </w:rPr>
  </w:style>
  <w:style w:type="character" w:customStyle="1" w:styleId="25">
    <w:name w:val="font21"/>
    <w:basedOn w:val="21"/>
    <w:autoRedefine/>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10063</Words>
  <Characters>11071</Characters>
  <Lines>0</Lines>
  <Paragraphs>0</Paragraphs>
  <TotalTime>265</TotalTime>
  <ScaleCrop>false</ScaleCrop>
  <LinksUpToDate>false</LinksUpToDate>
  <CharactersWithSpaces>11882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2024-05-09T09:19:46Z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641C5717AECB4B549EF077C9070C4D18_13</vt:lpwstr>
  </property>
</Properties>
</file>